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60A" w:rsidRDefault="00E2360A" w:rsidP="00E2360A">
      <w:pPr>
        <w:pStyle w:val="3"/>
        <w:ind w:left="0"/>
        <w:jc w:val="right"/>
      </w:pPr>
      <w:r>
        <w:rPr>
          <w:b/>
          <w:bCs/>
        </w:rPr>
        <w:t>Приложение 3</w:t>
      </w:r>
    </w:p>
    <w:p w:rsidR="00E2360A" w:rsidRDefault="00E2360A" w:rsidP="00E2360A">
      <w:pPr>
        <w:pStyle w:val="3"/>
        <w:ind w:left="0"/>
        <w:jc w:val="right"/>
      </w:pPr>
      <w:r>
        <w:t>к Договору комиссии</w:t>
      </w:r>
    </w:p>
    <w:p w:rsidR="00E2360A" w:rsidRDefault="00E2360A" w:rsidP="00E2360A">
      <w:pPr>
        <w:pStyle w:val="3"/>
        <w:ind w:left="0"/>
        <w:jc w:val="right"/>
      </w:pPr>
      <w:r>
        <w:t>«Об оказании брокерских услуг на РЦБ</w:t>
      </w:r>
    </w:p>
    <w:p w:rsidR="00E2360A" w:rsidRDefault="00E2360A" w:rsidP="00E2360A">
      <w:pPr>
        <w:pStyle w:val="3"/>
        <w:ind w:left="0"/>
        <w:jc w:val="right"/>
      </w:pPr>
      <w:r>
        <w:t>№_____ от «_______» _________________20___г</w:t>
      </w:r>
    </w:p>
    <w:p w:rsidR="00E2360A" w:rsidRDefault="00E2360A" w:rsidP="00E2360A">
      <w:pPr>
        <w:pStyle w:val="3"/>
        <w:ind w:left="0"/>
      </w:pPr>
    </w:p>
    <w:p w:rsidR="00E2360A" w:rsidRPr="00B84B3F" w:rsidRDefault="00E2360A" w:rsidP="00E2360A">
      <w:pPr>
        <w:pStyle w:val="2"/>
        <w:jc w:val="center"/>
        <w:rPr>
          <w:b/>
        </w:rPr>
      </w:pPr>
      <w:r w:rsidRPr="00B84B3F">
        <w:rPr>
          <w:b/>
        </w:rPr>
        <w:t>Декларация (уведомление) о рисках,</w:t>
      </w:r>
    </w:p>
    <w:p w:rsidR="00E2360A" w:rsidRPr="00B84B3F" w:rsidRDefault="00E2360A" w:rsidP="00E2360A">
      <w:pPr>
        <w:pStyle w:val="2"/>
        <w:jc w:val="center"/>
        <w:rPr>
          <w:b/>
        </w:rPr>
      </w:pPr>
      <w:r w:rsidRPr="00B84B3F">
        <w:rPr>
          <w:b/>
        </w:rPr>
        <w:t>связанных с осуществлением операций на рынке ценных бумаг.</w:t>
      </w:r>
    </w:p>
    <w:p w:rsidR="00E2360A" w:rsidRPr="00E2360A" w:rsidRDefault="00E2360A" w:rsidP="00E2360A">
      <w:pPr>
        <w:pStyle w:val="aa"/>
        <w:rPr>
          <w:rFonts w:ascii="Times New Roman" w:hAnsi="Times New Roman" w:cs="Times New Roman"/>
          <w:sz w:val="20"/>
        </w:rPr>
      </w:pPr>
      <w:bookmarkStart w:id="0" w:name="_GoBack"/>
      <w:bookmarkEnd w:id="0"/>
      <w:r w:rsidRPr="00E2360A">
        <w:rPr>
          <w:rFonts w:ascii="Times New Roman" w:hAnsi="Times New Roman" w:cs="Times New Roman"/>
          <w:sz w:val="20"/>
        </w:rPr>
        <w:t>Цель настоящей Декларации – довести до сведения Инвестора информацию о рисках, связанных с осуществлением операций на рынке ценных бумаг, и предупредить о возможных потерях при осуществлении операций на фондовом рынке.</w:t>
      </w:r>
    </w:p>
    <w:p w:rsidR="00E2360A" w:rsidRPr="00E2360A" w:rsidRDefault="00E2360A" w:rsidP="00E2360A">
      <w:pPr>
        <w:pStyle w:val="aa"/>
        <w:rPr>
          <w:rFonts w:ascii="Times New Roman" w:hAnsi="Times New Roman" w:cs="Times New Roman"/>
          <w:b/>
          <w:i/>
          <w:sz w:val="20"/>
          <w:szCs w:val="16"/>
        </w:rPr>
      </w:pPr>
      <w:r w:rsidRPr="00E2360A">
        <w:rPr>
          <w:rFonts w:ascii="Times New Roman" w:hAnsi="Times New Roman" w:cs="Times New Roman"/>
          <w:sz w:val="20"/>
        </w:rPr>
        <w:t>Обращаем внимание Инвестора на то, что декларация не раскрывает все возможные риски вследствие разнообразия ситуаций, возникающих на рынке ценных бумаг, однако позволит определить приемлемый уровень рисков для себя, реально оценить свои возможности и ответственно подойти к решению вопроса о начале проведения операций на рынке ценных бумаг.</w:t>
      </w:r>
      <w:r w:rsidRPr="00E2360A">
        <w:rPr>
          <w:rFonts w:ascii="Times New Roman" w:hAnsi="Times New Roman" w:cs="Times New Roman"/>
          <w:sz w:val="20"/>
        </w:rPr>
        <w:br/>
      </w:r>
      <w:r w:rsidRPr="00B84B3F">
        <w:rPr>
          <w:b/>
          <w:sz w:val="20"/>
        </w:rPr>
        <w:br/>
      </w:r>
      <w:r w:rsidRPr="00E2360A">
        <w:rPr>
          <w:rFonts w:ascii="Times New Roman" w:hAnsi="Times New Roman" w:cs="Times New Roman"/>
          <w:b/>
          <w:sz w:val="20"/>
        </w:rPr>
        <w:t>Инвестор,</w:t>
      </w:r>
      <w:r w:rsidRPr="00E2360A">
        <w:rPr>
          <w:rFonts w:ascii="Times New Roman" w:hAnsi="Times New Roman" w:cs="Times New Roman"/>
          <w:b/>
          <w:noProof/>
          <w:sz w:val="20"/>
          <w:u w:val="single"/>
        </w:rPr>
        <w:t>_____________________________________________________________________________________</w:t>
      </w:r>
      <w:r w:rsidRPr="00E2360A">
        <w:rPr>
          <w:rFonts w:ascii="Times New Roman" w:hAnsi="Times New Roman" w:cs="Times New Roman"/>
          <w:b/>
          <w:sz w:val="20"/>
        </w:rPr>
        <w:t xml:space="preserve"> </w:t>
      </w:r>
      <w:r w:rsidRPr="00E2360A">
        <w:rPr>
          <w:rFonts w:ascii="Times New Roman" w:hAnsi="Times New Roman" w:cs="Times New Roman"/>
          <w:b/>
          <w:sz w:val="20"/>
        </w:rPr>
        <w:br/>
        <w:t xml:space="preserve">                                                     </w:t>
      </w:r>
      <w:proofErr w:type="gramStart"/>
      <w:r w:rsidRPr="00E2360A">
        <w:rPr>
          <w:rFonts w:ascii="Times New Roman" w:hAnsi="Times New Roman" w:cs="Times New Roman"/>
          <w:b/>
          <w:sz w:val="20"/>
          <w:szCs w:val="16"/>
        </w:rPr>
        <w:t xml:space="preserve">( </w:t>
      </w:r>
      <w:proofErr w:type="gramEnd"/>
      <w:r w:rsidRPr="00E2360A">
        <w:rPr>
          <w:rFonts w:ascii="Times New Roman" w:hAnsi="Times New Roman" w:cs="Times New Roman"/>
          <w:b/>
          <w:sz w:val="20"/>
          <w:szCs w:val="16"/>
        </w:rPr>
        <w:t>полное наименование организации)</w:t>
      </w:r>
    </w:p>
    <w:p w:rsidR="00E2360A" w:rsidRDefault="00E2360A" w:rsidP="00E2360A">
      <w:pPr>
        <w:pStyle w:val="3"/>
        <w:ind w:left="0"/>
      </w:pPr>
      <w:r>
        <w:t xml:space="preserve">        настоящим признает, что инвестирование в  ценные бумаги связано с высокой степенью рисков, под которыми понимается возможность наступления соб</w:t>
      </w:r>
      <w:r>
        <w:t>ы</w:t>
      </w:r>
      <w:r>
        <w:t xml:space="preserve">тий, влекущих за собой потери для Инвестора. При работе на фондовом рынке Инвестор неизбежно сталкивается с необходимостью учитывать факторы риска самого различного свойства. </w:t>
      </w:r>
    </w:p>
    <w:p w:rsidR="00E2360A" w:rsidRDefault="00E2360A" w:rsidP="00E2360A">
      <w:pPr>
        <w:pStyle w:val="ac"/>
        <w:jc w:val="both"/>
        <w:rPr>
          <w:rFonts w:ascii="Times New Roman" w:hAnsi="Times New Roman" w:cs="Times New Roman"/>
          <w:sz w:val="20"/>
        </w:rPr>
      </w:pPr>
      <w:r>
        <w:rPr>
          <w:rFonts w:ascii="Times New Roman" w:hAnsi="Times New Roman" w:cs="Times New Roman"/>
          <w:sz w:val="20"/>
        </w:rPr>
        <w:t>Ниже приведена классификация рисков:</w:t>
      </w:r>
    </w:p>
    <w:p w:rsidR="00E2360A" w:rsidRDefault="00E2360A" w:rsidP="00E2360A">
      <w:pPr>
        <w:pStyle w:val="ac"/>
        <w:jc w:val="both"/>
        <w:rPr>
          <w:rFonts w:ascii="Times New Roman" w:hAnsi="Times New Roman" w:cs="Times New Roman"/>
          <w:b/>
          <w:bCs/>
          <w:i/>
          <w:iCs/>
          <w:sz w:val="20"/>
        </w:rPr>
      </w:pPr>
      <w:r>
        <w:rPr>
          <w:rFonts w:ascii="Times New Roman" w:hAnsi="Times New Roman" w:cs="Times New Roman"/>
          <w:b/>
          <w:bCs/>
          <w:i/>
          <w:iCs/>
          <w:sz w:val="20"/>
        </w:rPr>
        <w:t>1. По источникам рисков:</w:t>
      </w:r>
    </w:p>
    <w:p w:rsidR="00E2360A" w:rsidRDefault="00E2360A" w:rsidP="00E2360A">
      <w:pPr>
        <w:jc w:val="both"/>
        <w:rPr>
          <w:color w:val="000000"/>
          <w:sz w:val="20"/>
          <w:szCs w:val="18"/>
        </w:rPr>
      </w:pPr>
      <w:r>
        <w:rPr>
          <w:b/>
          <w:bCs/>
          <w:color w:val="000000"/>
          <w:sz w:val="20"/>
          <w:szCs w:val="18"/>
          <w:u w:val="single"/>
        </w:rPr>
        <w:t>системные риски</w:t>
      </w:r>
      <w:r>
        <w:rPr>
          <w:color w:val="000000"/>
          <w:sz w:val="20"/>
          <w:szCs w:val="18"/>
        </w:rPr>
        <w:t xml:space="preserve"> - риски, связанные с функционированием системы в целом. Это риск изменения политической ситуации, риск неблагоприятных (с точки зрения существенных условий бизнеса) изменений в российском законодательстве, в частности, в области налогообложения или ограничения инвестиций в отдельные отрасли экономики, общий банковский кризис, дефолт, риск резкого падения курса рубля по отношению к основным мировым валютам. Работая на рынке ценных бумаг, вы изначально подвергаетесь системному риску, уровень которого можно считать неснижаемым (по крайней мере, путем диверсификации) при любых ваших вложениях в ценные бумаги. </w:t>
      </w:r>
    </w:p>
    <w:p w:rsidR="00E2360A" w:rsidRDefault="00E2360A" w:rsidP="00E2360A">
      <w:pPr>
        <w:pStyle w:val="ac"/>
        <w:jc w:val="both"/>
        <w:rPr>
          <w:rFonts w:ascii="Times New Roman" w:hAnsi="Times New Roman" w:cs="Times New Roman"/>
          <w:b/>
          <w:bCs/>
          <w:sz w:val="20"/>
          <w:u w:val="single"/>
        </w:rPr>
      </w:pPr>
      <w:proofErr w:type="gramStart"/>
      <w:r>
        <w:rPr>
          <w:rFonts w:ascii="Times New Roman" w:hAnsi="Times New Roman" w:cs="Times New Roman"/>
          <w:b/>
          <w:bCs/>
          <w:sz w:val="20"/>
          <w:u w:val="single"/>
        </w:rPr>
        <w:t>н</w:t>
      </w:r>
      <w:proofErr w:type="gramEnd"/>
      <w:r>
        <w:rPr>
          <w:rFonts w:ascii="Times New Roman" w:hAnsi="Times New Roman" w:cs="Times New Roman"/>
          <w:b/>
          <w:bCs/>
          <w:sz w:val="20"/>
          <w:u w:val="single"/>
        </w:rPr>
        <w:t>есистемные риски:</w:t>
      </w:r>
    </w:p>
    <w:p w:rsidR="00E2360A" w:rsidRDefault="00E2360A" w:rsidP="00E2360A">
      <w:pPr>
        <w:numPr>
          <w:ilvl w:val="0"/>
          <w:numId w:val="1"/>
        </w:numPr>
        <w:jc w:val="both"/>
        <w:rPr>
          <w:color w:val="000000"/>
          <w:sz w:val="20"/>
          <w:szCs w:val="18"/>
        </w:rPr>
      </w:pPr>
      <w:r>
        <w:rPr>
          <w:b/>
          <w:bCs/>
          <w:color w:val="000000"/>
          <w:sz w:val="20"/>
          <w:szCs w:val="18"/>
        </w:rPr>
        <w:t>ценовой риск</w:t>
      </w:r>
      <w:r>
        <w:rPr>
          <w:color w:val="000000"/>
          <w:sz w:val="20"/>
          <w:szCs w:val="18"/>
        </w:rPr>
        <w:t xml:space="preserve"> - риск потерь вследствие неблагоприятных изменений цен. </w:t>
      </w:r>
    </w:p>
    <w:p w:rsidR="00E2360A" w:rsidRDefault="00E2360A" w:rsidP="00E2360A">
      <w:pPr>
        <w:numPr>
          <w:ilvl w:val="0"/>
          <w:numId w:val="1"/>
        </w:numPr>
        <w:jc w:val="both"/>
        <w:rPr>
          <w:color w:val="000000"/>
          <w:sz w:val="20"/>
          <w:szCs w:val="18"/>
        </w:rPr>
      </w:pPr>
      <w:r>
        <w:rPr>
          <w:b/>
          <w:bCs/>
          <w:color w:val="000000"/>
          <w:sz w:val="20"/>
          <w:szCs w:val="18"/>
        </w:rPr>
        <w:t>риск ликвидности</w:t>
      </w:r>
      <w:r>
        <w:rPr>
          <w:color w:val="000000"/>
          <w:sz w:val="20"/>
          <w:szCs w:val="18"/>
        </w:rPr>
        <w:t xml:space="preserve"> - возможность возникновения затруднений при продаже или покупке актива по ожидаемой цене в определенный момент времени. </w:t>
      </w:r>
    </w:p>
    <w:p w:rsidR="00E2360A" w:rsidRDefault="00E2360A" w:rsidP="00E2360A">
      <w:pPr>
        <w:numPr>
          <w:ilvl w:val="0"/>
          <w:numId w:val="1"/>
        </w:numPr>
        <w:jc w:val="both"/>
        <w:rPr>
          <w:color w:val="000000"/>
          <w:sz w:val="20"/>
          <w:szCs w:val="18"/>
        </w:rPr>
      </w:pPr>
      <w:r>
        <w:rPr>
          <w:b/>
          <w:bCs/>
          <w:color w:val="000000"/>
          <w:sz w:val="20"/>
          <w:szCs w:val="18"/>
        </w:rPr>
        <w:t>риск банкротства эмитента</w:t>
      </w:r>
      <w:r>
        <w:rPr>
          <w:color w:val="000000"/>
          <w:sz w:val="20"/>
          <w:szCs w:val="18"/>
        </w:rPr>
        <w:t xml:space="preserve"> - риск возможности наступления неплатежеспособности эмитента ценной бумаги, что приведет к резкому падению цены на такую ценную бумагу (акции) или невозможности погасить ее (долговые ценные бумаги). </w:t>
      </w:r>
    </w:p>
    <w:p w:rsidR="00E2360A" w:rsidRDefault="00E2360A" w:rsidP="00E2360A">
      <w:pPr>
        <w:numPr>
          <w:ilvl w:val="0"/>
          <w:numId w:val="1"/>
        </w:numPr>
        <w:jc w:val="both"/>
        <w:rPr>
          <w:color w:val="000000"/>
          <w:sz w:val="20"/>
          <w:szCs w:val="18"/>
        </w:rPr>
      </w:pPr>
      <w:r>
        <w:rPr>
          <w:b/>
          <w:bCs/>
          <w:color w:val="000000"/>
          <w:sz w:val="20"/>
          <w:szCs w:val="18"/>
        </w:rPr>
        <w:t>валютный риск</w:t>
      </w:r>
      <w:r>
        <w:rPr>
          <w:color w:val="000000"/>
          <w:sz w:val="20"/>
          <w:szCs w:val="18"/>
        </w:rPr>
        <w:t xml:space="preserve"> - риск потерь вследствие неблагоприятных изменений валютных курсов. </w:t>
      </w:r>
    </w:p>
    <w:p w:rsidR="00E2360A" w:rsidRDefault="00E2360A" w:rsidP="00E2360A">
      <w:pPr>
        <w:numPr>
          <w:ilvl w:val="0"/>
          <w:numId w:val="1"/>
        </w:numPr>
        <w:jc w:val="both"/>
        <w:rPr>
          <w:color w:val="000000"/>
          <w:sz w:val="20"/>
          <w:szCs w:val="18"/>
        </w:rPr>
      </w:pPr>
      <w:r>
        <w:rPr>
          <w:b/>
          <w:bCs/>
          <w:color w:val="000000"/>
          <w:sz w:val="20"/>
          <w:szCs w:val="18"/>
        </w:rPr>
        <w:t>процентный риск</w:t>
      </w:r>
      <w:r>
        <w:rPr>
          <w:color w:val="000000"/>
          <w:sz w:val="20"/>
          <w:szCs w:val="18"/>
        </w:rPr>
        <w:t xml:space="preserve"> - риск потерь из-за негативных изменений процентных ставок. </w:t>
      </w:r>
    </w:p>
    <w:p w:rsidR="00E2360A" w:rsidRDefault="00E2360A" w:rsidP="00E2360A">
      <w:pPr>
        <w:numPr>
          <w:ilvl w:val="0"/>
          <w:numId w:val="1"/>
        </w:numPr>
        <w:jc w:val="both"/>
        <w:rPr>
          <w:color w:val="000000"/>
          <w:sz w:val="20"/>
          <w:szCs w:val="18"/>
        </w:rPr>
      </w:pPr>
      <w:r>
        <w:rPr>
          <w:b/>
          <w:bCs/>
          <w:color w:val="000000"/>
          <w:sz w:val="20"/>
          <w:szCs w:val="18"/>
        </w:rPr>
        <w:t>отраслевой риск</w:t>
      </w:r>
      <w:r>
        <w:rPr>
          <w:color w:val="000000"/>
          <w:sz w:val="20"/>
          <w:szCs w:val="18"/>
        </w:rPr>
        <w:t xml:space="preserve"> – риск, связанный с неблагоприятным функционированием определенной отрасли, что непосредственно может сказаться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 </w:t>
      </w:r>
    </w:p>
    <w:p w:rsidR="00E2360A" w:rsidRDefault="00E2360A" w:rsidP="00E2360A">
      <w:pPr>
        <w:numPr>
          <w:ilvl w:val="0"/>
          <w:numId w:val="1"/>
        </w:numPr>
        <w:jc w:val="both"/>
        <w:rPr>
          <w:color w:val="000000"/>
          <w:sz w:val="20"/>
          <w:szCs w:val="18"/>
        </w:rPr>
      </w:pPr>
      <w:proofErr w:type="gramStart"/>
      <w:r>
        <w:rPr>
          <w:b/>
          <w:bCs/>
          <w:color w:val="000000"/>
          <w:sz w:val="20"/>
          <w:szCs w:val="18"/>
        </w:rPr>
        <w:t>к</w:t>
      </w:r>
      <w:proofErr w:type="gramEnd"/>
      <w:r>
        <w:rPr>
          <w:b/>
          <w:bCs/>
          <w:color w:val="000000"/>
          <w:sz w:val="20"/>
          <w:szCs w:val="18"/>
        </w:rPr>
        <w:t xml:space="preserve">редитный риск - </w:t>
      </w:r>
      <w:r>
        <w:rPr>
          <w:color w:val="000000"/>
          <w:sz w:val="20"/>
          <w:szCs w:val="17"/>
        </w:rPr>
        <w:t>возможность невыполнения контрагентом обязательств по договору и возникновение в связи с этим потерь у Инвестора. Например, неплатежеспособность покупателя, неплатежеспособность эмитента и т.п.</w:t>
      </w:r>
      <w:r>
        <w:rPr>
          <w:color w:val="000000"/>
          <w:sz w:val="20"/>
          <w:szCs w:val="17"/>
        </w:rPr>
        <w:br/>
      </w:r>
      <w:r>
        <w:rPr>
          <w:b/>
          <w:bCs/>
          <w:color w:val="000000"/>
          <w:sz w:val="20"/>
          <w:szCs w:val="18"/>
        </w:rPr>
        <w:t>риск неправомерных действий</w:t>
      </w:r>
      <w:r>
        <w:rPr>
          <w:color w:val="000000"/>
          <w:sz w:val="20"/>
          <w:szCs w:val="18"/>
        </w:rPr>
        <w:t xml:space="preserve"> в отношении имущества инвестора и охраняемых законом прав инвестора со стороны третьих лиц, включая эмитента, регистратора или депозитария. </w:t>
      </w:r>
    </w:p>
    <w:p w:rsidR="00E2360A" w:rsidRDefault="00E2360A" w:rsidP="00E2360A">
      <w:pPr>
        <w:numPr>
          <w:ilvl w:val="0"/>
          <w:numId w:val="1"/>
        </w:numPr>
        <w:jc w:val="both"/>
        <w:rPr>
          <w:color w:val="000000"/>
          <w:sz w:val="20"/>
          <w:szCs w:val="18"/>
        </w:rPr>
      </w:pPr>
      <w:proofErr w:type="gramStart"/>
      <w:r>
        <w:rPr>
          <w:b/>
          <w:bCs/>
          <w:color w:val="000000"/>
          <w:sz w:val="20"/>
          <w:szCs w:val="18"/>
        </w:rPr>
        <w:t>операционный (технический, технологический, кадровый) риск</w:t>
      </w:r>
      <w:r>
        <w:rPr>
          <w:color w:val="000000"/>
          <w:sz w:val="20"/>
          <w:szCs w:val="18"/>
        </w:rPr>
        <w:t xml:space="preserve"> - 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а также в результате воздействия внешних событий. </w:t>
      </w:r>
      <w:proofErr w:type="gramEnd"/>
    </w:p>
    <w:p w:rsidR="00E2360A" w:rsidRDefault="00E2360A" w:rsidP="00E2360A">
      <w:pPr>
        <w:jc w:val="both"/>
        <w:rPr>
          <w:color w:val="000000"/>
          <w:sz w:val="20"/>
          <w:szCs w:val="18"/>
        </w:rPr>
      </w:pPr>
    </w:p>
    <w:p w:rsidR="00E2360A" w:rsidRDefault="00E2360A" w:rsidP="00E2360A">
      <w:pPr>
        <w:jc w:val="both"/>
        <w:rPr>
          <w:color w:val="000000"/>
          <w:sz w:val="20"/>
          <w:szCs w:val="18"/>
        </w:rPr>
      </w:pPr>
      <w:r>
        <w:rPr>
          <w:color w:val="000000"/>
          <w:sz w:val="20"/>
          <w:szCs w:val="18"/>
        </w:rPr>
        <w:t xml:space="preserve">                                                                                                                                            </w:t>
      </w:r>
    </w:p>
    <w:p w:rsidR="00E2360A" w:rsidRDefault="00E2360A" w:rsidP="00E2360A">
      <w:pPr>
        <w:jc w:val="right"/>
        <w:rPr>
          <w:color w:val="000000"/>
          <w:sz w:val="20"/>
          <w:szCs w:val="18"/>
        </w:rPr>
      </w:pPr>
      <w:r>
        <w:rPr>
          <w:color w:val="000000"/>
          <w:sz w:val="20"/>
          <w:szCs w:val="18"/>
        </w:rPr>
        <w:t xml:space="preserve">_______________________(подпись)                                                                                                                                                  </w:t>
      </w:r>
    </w:p>
    <w:p w:rsidR="00E2360A" w:rsidRDefault="00E2360A" w:rsidP="00E2360A">
      <w:pPr>
        <w:pStyle w:val="3"/>
        <w:numPr>
          <w:ilvl w:val="0"/>
          <w:numId w:val="1"/>
        </w:numPr>
      </w:pPr>
      <w:r>
        <w:rPr>
          <w:b/>
        </w:rPr>
        <w:lastRenderedPageBreak/>
        <w:t xml:space="preserve">техногенный риск </w:t>
      </w:r>
      <w:r>
        <w:t>– риск, связанный с хозяйственной деятельностью человека (аварийные ситуации, пожары и др.);</w:t>
      </w:r>
    </w:p>
    <w:p w:rsidR="00E2360A" w:rsidRDefault="00E2360A" w:rsidP="00E2360A">
      <w:pPr>
        <w:pStyle w:val="3"/>
        <w:numPr>
          <w:ilvl w:val="0"/>
          <w:numId w:val="1"/>
        </w:numPr>
      </w:pPr>
      <w:r>
        <w:rPr>
          <w:b/>
        </w:rPr>
        <w:t xml:space="preserve">природный риск </w:t>
      </w:r>
      <w:r>
        <w:t>– риск, не зависящий от деятельности человека и связанный со стихи</w:t>
      </w:r>
      <w:r>
        <w:t>й</w:t>
      </w:r>
      <w:r>
        <w:t>ными бедствиями (землетрясение, наводнение, ураган, тайфун и др.).</w:t>
      </w:r>
    </w:p>
    <w:p w:rsidR="00E2360A" w:rsidRDefault="00E2360A" w:rsidP="00E2360A">
      <w:pPr>
        <w:pStyle w:val="3"/>
        <w:ind w:left="360"/>
      </w:pPr>
    </w:p>
    <w:p w:rsidR="00E2360A" w:rsidRDefault="00E2360A" w:rsidP="00E2360A">
      <w:pPr>
        <w:pStyle w:val="3"/>
        <w:ind w:left="0" w:firstLine="284"/>
      </w:pPr>
      <w:r>
        <w:t>Данный вид рисков может быть уменьшен путем диверсификации.</w:t>
      </w:r>
      <w:r>
        <w:br/>
      </w:r>
    </w:p>
    <w:p w:rsidR="00E2360A" w:rsidRDefault="00E2360A" w:rsidP="00E2360A">
      <w:pPr>
        <w:rPr>
          <w:b/>
          <w:bCs/>
          <w:i/>
          <w:iCs/>
          <w:sz w:val="20"/>
          <w:szCs w:val="22"/>
        </w:rPr>
      </w:pPr>
      <w:r>
        <w:rPr>
          <w:b/>
          <w:bCs/>
          <w:i/>
          <w:iCs/>
          <w:sz w:val="20"/>
          <w:szCs w:val="22"/>
        </w:rPr>
        <w:t>2. По экономическим последствиям для Инвестора:</w:t>
      </w:r>
    </w:p>
    <w:p w:rsidR="00E2360A" w:rsidRDefault="00E2360A" w:rsidP="00E2360A">
      <w:pPr>
        <w:rPr>
          <w:b/>
          <w:bCs/>
          <w:i/>
          <w:iCs/>
          <w:sz w:val="20"/>
          <w:szCs w:val="22"/>
        </w:rPr>
      </w:pPr>
    </w:p>
    <w:p w:rsidR="00E2360A" w:rsidRDefault="00E2360A" w:rsidP="00E2360A">
      <w:pPr>
        <w:numPr>
          <w:ilvl w:val="0"/>
          <w:numId w:val="2"/>
        </w:numPr>
        <w:jc w:val="both"/>
        <w:rPr>
          <w:sz w:val="20"/>
          <w:szCs w:val="22"/>
        </w:rPr>
      </w:pPr>
      <w:r>
        <w:rPr>
          <w:b/>
          <w:bCs/>
          <w:sz w:val="20"/>
          <w:szCs w:val="22"/>
        </w:rPr>
        <w:t>риск потери дохода</w:t>
      </w:r>
      <w:r>
        <w:rPr>
          <w:sz w:val="20"/>
          <w:szCs w:val="22"/>
        </w:rPr>
        <w:t xml:space="preserve"> - возможность наступления события, которое влечет за собой частичную или полную потерю ожидаемого дохода от инвестиций;</w:t>
      </w:r>
    </w:p>
    <w:p w:rsidR="00E2360A" w:rsidRDefault="00E2360A" w:rsidP="00E2360A">
      <w:pPr>
        <w:numPr>
          <w:ilvl w:val="0"/>
          <w:numId w:val="2"/>
        </w:numPr>
        <w:jc w:val="both"/>
        <w:rPr>
          <w:sz w:val="20"/>
          <w:szCs w:val="22"/>
        </w:rPr>
      </w:pPr>
      <w:r>
        <w:rPr>
          <w:b/>
          <w:bCs/>
          <w:sz w:val="20"/>
          <w:szCs w:val="22"/>
        </w:rPr>
        <w:t>риск потери инвестируемых средств</w:t>
      </w:r>
      <w:r>
        <w:rPr>
          <w:sz w:val="20"/>
          <w:szCs w:val="22"/>
        </w:rPr>
        <w:t xml:space="preserve"> - возможность наступления события, которое влечет за собой частичную или полную потерю инвестируемых средств;</w:t>
      </w:r>
    </w:p>
    <w:p w:rsidR="00E2360A" w:rsidRDefault="00E2360A" w:rsidP="00E2360A">
      <w:pPr>
        <w:jc w:val="both"/>
        <w:rPr>
          <w:b/>
          <w:bCs/>
          <w:i/>
          <w:iCs/>
          <w:sz w:val="20"/>
          <w:szCs w:val="22"/>
        </w:rPr>
      </w:pPr>
    </w:p>
    <w:p w:rsidR="00E2360A" w:rsidRDefault="00E2360A" w:rsidP="00E2360A">
      <w:pPr>
        <w:pStyle w:val="a8"/>
        <w:jc w:val="left"/>
        <w:rPr>
          <w:b/>
          <w:bCs/>
          <w:i/>
          <w:iCs/>
        </w:rPr>
      </w:pPr>
      <w:r>
        <w:rPr>
          <w:b/>
          <w:bCs/>
          <w:i/>
          <w:iCs/>
        </w:rPr>
        <w:t>3. По связи Инвестора с источником риска:</w:t>
      </w:r>
    </w:p>
    <w:p w:rsidR="00E2360A" w:rsidRDefault="00E2360A" w:rsidP="00E2360A">
      <w:pPr>
        <w:pStyle w:val="3"/>
        <w:ind w:left="0"/>
        <w:rPr>
          <w:b/>
          <w:bCs/>
          <w:i/>
          <w:iCs/>
          <w:szCs w:val="22"/>
        </w:rPr>
      </w:pPr>
    </w:p>
    <w:p w:rsidR="00E2360A" w:rsidRDefault="00E2360A" w:rsidP="00E2360A">
      <w:pPr>
        <w:pStyle w:val="3"/>
        <w:numPr>
          <w:ilvl w:val="0"/>
          <w:numId w:val="3"/>
        </w:numPr>
      </w:pPr>
      <w:r>
        <w:rPr>
          <w:b/>
          <w:bCs/>
          <w:szCs w:val="22"/>
        </w:rPr>
        <w:t>непосредственный</w:t>
      </w:r>
      <w:r>
        <w:rPr>
          <w:szCs w:val="22"/>
        </w:rPr>
        <w:t xml:space="preserve"> - источник риска напрямую связан какими-либо отношениями с Инвестором;</w:t>
      </w:r>
    </w:p>
    <w:p w:rsidR="00E2360A" w:rsidRDefault="00E2360A" w:rsidP="00E2360A">
      <w:pPr>
        <w:pStyle w:val="3"/>
        <w:numPr>
          <w:ilvl w:val="0"/>
          <w:numId w:val="3"/>
        </w:numPr>
      </w:pPr>
      <w:proofErr w:type="gramStart"/>
      <w:r>
        <w:rPr>
          <w:b/>
          <w:bCs/>
          <w:szCs w:val="22"/>
        </w:rPr>
        <w:t>опосредованный</w:t>
      </w:r>
      <w:proofErr w:type="gramEnd"/>
      <w:r>
        <w:rPr>
          <w:szCs w:val="22"/>
        </w:rPr>
        <w:t xml:space="preserve"> - возможность наступления неблагоприятного для Инвестора события у источника, не связанного непосредственно с Инвестором, но влекущего за собой цепочку событий, которые, в конечном счете, приводят к потерям у Инвестора.</w:t>
      </w:r>
      <w:r>
        <w:rPr>
          <w:szCs w:val="22"/>
        </w:rPr>
        <w:br/>
      </w:r>
    </w:p>
    <w:p w:rsidR="00E2360A" w:rsidRPr="000640A4" w:rsidRDefault="00E2360A" w:rsidP="00E2360A">
      <w:pPr>
        <w:pStyle w:val="3"/>
        <w:ind w:left="0" w:firstLine="284"/>
        <w:rPr>
          <w:iCs/>
        </w:rPr>
      </w:pPr>
      <w:r>
        <w:rPr>
          <w:szCs w:val="22"/>
        </w:rPr>
        <w:t xml:space="preserve">     Учитывая </w:t>
      </w:r>
      <w:proofErr w:type="gramStart"/>
      <w:r>
        <w:rPr>
          <w:szCs w:val="22"/>
        </w:rPr>
        <w:t>вышеизложенное</w:t>
      </w:r>
      <w:proofErr w:type="gramEnd"/>
      <w:r>
        <w:rPr>
          <w:szCs w:val="22"/>
        </w:rPr>
        <w:t>, рекомендуем Вам внимательно рассмотреть вопрос о том, являются ли риски, возникающие при проведении операций на российском фондовом рынке, приемлемыми для Вас с учетом Ваших инвестиционных целей и финансовых возможностей.</w:t>
      </w:r>
      <w:r>
        <w:rPr>
          <w:szCs w:val="22"/>
        </w:rPr>
        <w:br/>
        <w:t>Данная Декларация не имеет своей целью заставить Вас отказаться от осуществления операций на фондовом рынке, а призвана помочь Вам оценить риски этого вида бизнеса и ответственно подойти к решению вопроса о выборе Вашей инвестиционной стратегии.</w:t>
      </w:r>
      <w:r>
        <w:rPr>
          <w:szCs w:val="22"/>
        </w:rPr>
        <w:br/>
      </w:r>
      <w:r>
        <w:rPr>
          <w:color w:val="FF0000"/>
          <w:szCs w:val="22"/>
        </w:rPr>
        <w:t xml:space="preserve">          </w:t>
      </w:r>
      <w:r w:rsidRPr="000640A4">
        <w:rPr>
          <w:szCs w:val="22"/>
        </w:rPr>
        <w:t xml:space="preserve">Кроме вышеизложенного, считаем необходимым уведомить Инвестора о риске, связанном с </w:t>
      </w:r>
      <w:r w:rsidRPr="000640A4">
        <w:rPr>
          <w:rFonts w:ascii="Times New Roman CYR" w:hAnsi="Times New Roman CYR"/>
          <w:iCs/>
        </w:rPr>
        <w:t>возможным несанкционированным доступом к документам, направляемым клиенту, во время их доставки (как при передаче документов  в бумажном виде, так и с помощью электронных сре</w:t>
      </w:r>
      <w:proofErr w:type="gramStart"/>
      <w:r w:rsidRPr="000640A4">
        <w:rPr>
          <w:rFonts w:ascii="Times New Roman CYR" w:hAnsi="Times New Roman CYR"/>
          <w:iCs/>
        </w:rPr>
        <w:t>дств св</w:t>
      </w:r>
      <w:proofErr w:type="gramEnd"/>
      <w:r w:rsidRPr="000640A4">
        <w:rPr>
          <w:rFonts w:ascii="Times New Roman CYR" w:hAnsi="Times New Roman CYR"/>
          <w:iCs/>
        </w:rPr>
        <w:t xml:space="preserve">язи). </w:t>
      </w:r>
    </w:p>
    <w:p w:rsidR="00E2360A" w:rsidRDefault="00E2360A" w:rsidP="00E2360A">
      <w:pPr>
        <w:pStyle w:val="3"/>
        <w:ind w:left="0" w:firstLine="284"/>
      </w:pPr>
    </w:p>
    <w:p w:rsidR="00E2360A" w:rsidRDefault="00E2360A" w:rsidP="00E2360A">
      <w:pPr>
        <w:pStyle w:val="3"/>
        <w:ind w:left="0" w:firstLine="284"/>
      </w:pPr>
    </w:p>
    <w:p w:rsidR="00E2360A" w:rsidRPr="00B84B3F" w:rsidRDefault="00E2360A" w:rsidP="00E2360A">
      <w:pPr>
        <w:jc w:val="both"/>
        <w:rPr>
          <w:color w:val="000000"/>
          <w:sz w:val="20"/>
          <w:szCs w:val="22"/>
        </w:rPr>
      </w:pPr>
      <w:r>
        <w:rPr>
          <w:b/>
          <w:bCs/>
          <w:sz w:val="20"/>
          <w:szCs w:val="22"/>
        </w:rPr>
        <w:t>"Декларация (уведомление) о рисках, связанных с осуществлением операций на рынке ценных бумаг мною прочитана и понята. Я осознаю реальные риски при принятии инвестиционных решений".</w:t>
      </w:r>
      <w:r>
        <w:rPr>
          <w:sz w:val="20"/>
          <w:szCs w:val="22"/>
        </w:rPr>
        <w:br/>
      </w:r>
      <w:r>
        <w:rPr>
          <w:color w:val="000000"/>
          <w:sz w:val="20"/>
          <w:szCs w:val="22"/>
        </w:rPr>
        <w:t xml:space="preserve">                                                                                                                       </w:t>
      </w:r>
    </w:p>
    <w:p w:rsidR="00E2360A" w:rsidRDefault="00E2360A" w:rsidP="00E2360A">
      <w:pPr>
        <w:jc w:val="both"/>
        <w:rPr>
          <w:color w:val="000000"/>
          <w:sz w:val="20"/>
          <w:szCs w:val="22"/>
        </w:rPr>
      </w:pPr>
      <w:r w:rsidRPr="00B84B3F">
        <w:rPr>
          <w:color w:val="000000"/>
          <w:sz w:val="20"/>
          <w:szCs w:val="22"/>
        </w:rPr>
        <w:t xml:space="preserve">                                                                                                                              </w:t>
      </w:r>
      <w:r>
        <w:rPr>
          <w:color w:val="000000"/>
          <w:sz w:val="20"/>
          <w:szCs w:val="22"/>
        </w:rPr>
        <w:t xml:space="preserve"> «______»______________20___г.</w:t>
      </w:r>
    </w:p>
    <w:p w:rsidR="00E2360A" w:rsidRDefault="00E2360A" w:rsidP="00E2360A">
      <w:pPr>
        <w:jc w:val="center"/>
        <w:rPr>
          <w:color w:val="000000"/>
          <w:sz w:val="20"/>
          <w:szCs w:val="22"/>
        </w:rPr>
      </w:pPr>
      <w:r>
        <w:rPr>
          <w:i/>
          <w:iCs/>
          <w:color w:val="000000"/>
          <w:sz w:val="20"/>
          <w:szCs w:val="22"/>
        </w:rPr>
        <w:t xml:space="preserve">                                                                                                                   (дата ознакомления с декларацией)</w:t>
      </w:r>
      <w:r>
        <w:rPr>
          <w:i/>
          <w:iCs/>
          <w:color w:val="000000"/>
          <w:sz w:val="20"/>
          <w:szCs w:val="22"/>
        </w:rPr>
        <w:br/>
      </w:r>
    </w:p>
    <w:p w:rsidR="00E2360A" w:rsidRPr="00F60548" w:rsidRDefault="00E2360A" w:rsidP="00E2360A">
      <w:pPr>
        <w:jc w:val="both"/>
        <w:rPr>
          <w:color w:val="000000"/>
          <w:sz w:val="20"/>
          <w:szCs w:val="22"/>
          <w:u w:val="single"/>
        </w:rPr>
      </w:pPr>
      <w:r>
        <w:rPr>
          <w:color w:val="000000"/>
          <w:sz w:val="20"/>
          <w:szCs w:val="22"/>
        </w:rPr>
        <w:t xml:space="preserve">  ________________                    _______________________________________________</w:t>
      </w:r>
      <w:r w:rsidRPr="00B84B3F">
        <w:rPr>
          <w:color w:val="000000"/>
          <w:sz w:val="20"/>
          <w:szCs w:val="22"/>
        </w:rPr>
        <w:t xml:space="preserve">          </w:t>
      </w:r>
      <w:r>
        <w:rPr>
          <w:color w:val="000000"/>
          <w:sz w:val="20"/>
          <w:szCs w:val="22"/>
        </w:rPr>
        <w:t>________________</w:t>
      </w:r>
      <w:r w:rsidRPr="00B84B3F">
        <w:rPr>
          <w:color w:val="000000"/>
          <w:sz w:val="20"/>
          <w:szCs w:val="22"/>
        </w:rPr>
        <w:t xml:space="preserve">                                               </w:t>
      </w:r>
    </w:p>
    <w:p w:rsidR="00E2360A" w:rsidRDefault="00E2360A" w:rsidP="00E2360A">
      <w:pPr>
        <w:jc w:val="both"/>
        <w:rPr>
          <w:color w:val="000000"/>
          <w:sz w:val="20"/>
        </w:rPr>
      </w:pPr>
      <w:r>
        <w:rPr>
          <w:color w:val="000000"/>
          <w:sz w:val="20"/>
        </w:rPr>
        <w:t xml:space="preserve">  (Должность)                                 Ф.И.О. уполномоченного представителя организации                   подпись</w:t>
      </w:r>
    </w:p>
    <w:p w:rsidR="00E2360A" w:rsidRDefault="00E2360A" w:rsidP="00E2360A">
      <w:pPr>
        <w:jc w:val="center"/>
        <w:rPr>
          <w:color w:val="000000"/>
          <w:sz w:val="20"/>
        </w:rPr>
      </w:pPr>
      <w:r>
        <w:rPr>
          <w:color w:val="000000"/>
          <w:sz w:val="20"/>
        </w:rPr>
        <w:t>(полностью)</w:t>
      </w:r>
    </w:p>
    <w:p w:rsidR="00E2360A" w:rsidRDefault="00E2360A" w:rsidP="00E2360A">
      <w:pPr>
        <w:jc w:val="center"/>
        <w:rPr>
          <w:color w:val="000000"/>
          <w:sz w:val="20"/>
        </w:rPr>
      </w:pPr>
    </w:p>
    <w:p w:rsidR="00E2360A" w:rsidRDefault="00E2360A" w:rsidP="00E2360A">
      <w:pPr>
        <w:jc w:val="center"/>
        <w:rPr>
          <w:sz w:val="20"/>
          <w:lang w:val="en-US"/>
        </w:rPr>
        <w:sectPr w:rsidR="00E2360A" w:rsidSect="00E2360A">
          <w:footerReference w:type="even" r:id="rId8"/>
          <w:footerReference w:type="default" r:id="rId9"/>
          <w:pgSz w:w="11906" w:h="16838"/>
          <w:pgMar w:top="540" w:right="1134" w:bottom="899" w:left="1134" w:header="851" w:footer="133" w:gutter="0"/>
          <w:pgNumType w:start="1"/>
          <w:cols w:space="708"/>
          <w:docGrid w:linePitch="360"/>
        </w:sectPr>
      </w:pPr>
      <w:r>
        <w:rPr>
          <w:sz w:val="20"/>
        </w:rPr>
        <w:t>М.П.</w:t>
      </w:r>
      <w:r>
        <w:rPr>
          <w:sz w:val="20"/>
          <w:lang w:val="en-US"/>
        </w:rPr>
        <w:br/>
      </w:r>
      <w:r>
        <w:rPr>
          <w:sz w:val="20"/>
          <w:lang w:val="en-US"/>
        </w:rPr>
        <w:br/>
      </w:r>
    </w:p>
    <w:p w:rsidR="00E2360A" w:rsidRPr="00CE18D7" w:rsidRDefault="00E2360A" w:rsidP="00E2360A">
      <w:pPr>
        <w:jc w:val="center"/>
        <w:rPr>
          <w:sz w:val="20"/>
          <w:lang w:val="en-US"/>
        </w:rPr>
      </w:pPr>
    </w:p>
    <w:p w:rsidR="00E2360A" w:rsidRPr="00B84B3F" w:rsidRDefault="00E2360A" w:rsidP="00E2360A"/>
    <w:p w:rsidR="00E2360A" w:rsidRPr="00B84B3F" w:rsidRDefault="00E2360A" w:rsidP="00E2360A">
      <w:pPr>
        <w:jc w:val="both"/>
        <w:rPr>
          <w:b/>
          <w:bCs/>
          <w:noProof/>
          <w:sz w:val="20"/>
          <w:szCs w:val="20"/>
        </w:rPr>
      </w:pPr>
    </w:p>
    <w:p w:rsidR="00E2360A" w:rsidRPr="00B84B3F" w:rsidRDefault="00E2360A" w:rsidP="00E2360A">
      <w:pPr>
        <w:jc w:val="both"/>
        <w:rPr>
          <w:b/>
          <w:bCs/>
          <w:noProof/>
          <w:sz w:val="20"/>
          <w:szCs w:val="20"/>
        </w:rPr>
      </w:pPr>
    </w:p>
    <w:p w:rsidR="00E2360A" w:rsidRPr="001C3F03" w:rsidRDefault="00E2360A" w:rsidP="00E2360A">
      <w:pPr>
        <w:jc w:val="both"/>
        <w:rPr>
          <w:noProof/>
          <w:sz w:val="2"/>
          <w:szCs w:val="20"/>
        </w:rPr>
      </w:pPr>
      <w:r>
        <w:rPr>
          <w:b/>
          <w:bCs/>
          <w:noProof/>
          <w:sz w:val="20"/>
          <w:szCs w:val="20"/>
        </w:rPr>
        <w:t xml:space="preserve">                                      </w:t>
      </w:r>
    </w:p>
    <w:p w:rsidR="004C779B" w:rsidRPr="00E2360A" w:rsidRDefault="004C779B" w:rsidP="00E2360A"/>
    <w:sectPr w:rsidR="004C779B" w:rsidRPr="00E2360A" w:rsidSect="00690175">
      <w:headerReference w:type="default" r:id="rId10"/>
      <w:footerReference w:type="default" r:id="rId11"/>
      <w:headerReference w:type="first" r:id="rId12"/>
      <w:pgSz w:w="11907" w:h="16840" w:code="9"/>
      <w:pgMar w:top="426" w:right="567" w:bottom="851" w:left="1134" w:header="624" w:footer="0"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57" w:rsidRDefault="008C3257" w:rsidP="00EB02EF">
      <w:r>
        <w:separator/>
      </w:r>
    </w:p>
  </w:endnote>
  <w:endnote w:type="continuationSeparator" w:id="0">
    <w:p w:rsidR="008C3257" w:rsidRDefault="008C3257" w:rsidP="00EB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0A" w:rsidRDefault="00E2360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E2360A" w:rsidRDefault="00E2360A">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60A" w:rsidRDefault="00E2360A">
    <w:pPr>
      <w:pStyle w:val="a6"/>
      <w:framePr w:wrap="around" w:vAnchor="text" w:hAnchor="margin" w:y="1"/>
      <w:ind w:right="360"/>
      <w:rPr>
        <w:rStyle w:val="a3"/>
      </w:rPr>
    </w:pPr>
  </w:p>
  <w:p w:rsidR="00E2360A" w:rsidRDefault="00E2360A">
    <w:pPr>
      <w:pStyle w:val="a6"/>
      <w:ind w:firstLine="360"/>
      <w:jc w:val="center"/>
    </w:pPr>
  </w:p>
  <w:p w:rsidR="00E2360A" w:rsidRDefault="00E2360A">
    <w:pPr>
      <w:pStyle w:val="a6"/>
      <w:jc w:val="right"/>
      <w:rPr>
        <w:sz w:val="2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21" w:rsidRDefault="008C3257">
    <w:pPr>
      <w:pStyle w:val="a6"/>
      <w:framePr w:wrap="auto" w:vAnchor="text" w:hAnchor="margin" w:xAlign="right" w:y="1"/>
      <w:rPr>
        <w:rStyle w:val="a3"/>
      </w:rPr>
    </w:pPr>
  </w:p>
  <w:p w:rsidR="00946F21" w:rsidRPr="00CB7A18" w:rsidRDefault="008C3257" w:rsidP="00CB7A18">
    <w:pPr>
      <w:pStyle w:val="a6"/>
      <w:pBdr>
        <w:top w:val="single" w:sz="6" w:space="11" w:color="auto"/>
      </w:pBdr>
      <w:tabs>
        <w:tab w:val="clear" w:pos="4536"/>
        <w:tab w:val="clear" w:pos="9072"/>
        <w:tab w:val="left" w:pos="6804"/>
      </w:tabs>
      <w:jc w:val="both"/>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57" w:rsidRDefault="008C3257" w:rsidP="00EB02EF">
      <w:r>
        <w:separator/>
      </w:r>
    </w:p>
  </w:footnote>
  <w:footnote w:type="continuationSeparator" w:id="0">
    <w:p w:rsidR="008C3257" w:rsidRDefault="008C3257" w:rsidP="00EB0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21" w:rsidRPr="00CB7A18" w:rsidRDefault="008C3257" w:rsidP="00946F21">
    <w:pPr>
      <w:pStyle w:val="a4"/>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6A2" w:rsidRDefault="008C3257">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FC1"/>
    <w:multiLevelType w:val="hybridMultilevel"/>
    <w:tmpl w:val="3D5EC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DC05AD"/>
    <w:multiLevelType w:val="hybridMultilevel"/>
    <w:tmpl w:val="D32E3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7416AE"/>
    <w:multiLevelType w:val="hybridMultilevel"/>
    <w:tmpl w:val="81F03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75"/>
    <w:rsid w:val="00016205"/>
    <w:rsid w:val="00017A9B"/>
    <w:rsid w:val="00020444"/>
    <w:rsid w:val="00022E66"/>
    <w:rsid w:val="000250A7"/>
    <w:rsid w:val="0004162A"/>
    <w:rsid w:val="00042B41"/>
    <w:rsid w:val="0004352C"/>
    <w:rsid w:val="00045AD4"/>
    <w:rsid w:val="00071424"/>
    <w:rsid w:val="00082475"/>
    <w:rsid w:val="00091894"/>
    <w:rsid w:val="00095ABD"/>
    <w:rsid w:val="000A0746"/>
    <w:rsid w:val="000A429A"/>
    <w:rsid w:val="000B65B5"/>
    <w:rsid w:val="000C2E97"/>
    <w:rsid w:val="000C351B"/>
    <w:rsid w:val="000D0FAC"/>
    <w:rsid w:val="000F0B6C"/>
    <w:rsid w:val="0010322E"/>
    <w:rsid w:val="00112883"/>
    <w:rsid w:val="00126618"/>
    <w:rsid w:val="00154E81"/>
    <w:rsid w:val="001715DB"/>
    <w:rsid w:val="001907F2"/>
    <w:rsid w:val="00190C3F"/>
    <w:rsid w:val="001A21D6"/>
    <w:rsid w:val="001A55B9"/>
    <w:rsid w:val="001A6AF9"/>
    <w:rsid w:val="001B71F5"/>
    <w:rsid w:val="001C066E"/>
    <w:rsid w:val="001C4326"/>
    <w:rsid w:val="001D203C"/>
    <w:rsid w:val="001D2A17"/>
    <w:rsid w:val="001E20E8"/>
    <w:rsid w:val="001F085A"/>
    <w:rsid w:val="0020026A"/>
    <w:rsid w:val="00203607"/>
    <w:rsid w:val="0020657A"/>
    <w:rsid w:val="00211FA3"/>
    <w:rsid w:val="00212B2A"/>
    <w:rsid w:val="00212E6D"/>
    <w:rsid w:val="002132E4"/>
    <w:rsid w:val="00215219"/>
    <w:rsid w:val="00242C4F"/>
    <w:rsid w:val="002540DB"/>
    <w:rsid w:val="002604AF"/>
    <w:rsid w:val="00260AE4"/>
    <w:rsid w:val="002641B4"/>
    <w:rsid w:val="0026538D"/>
    <w:rsid w:val="00280B98"/>
    <w:rsid w:val="00280E6E"/>
    <w:rsid w:val="0028263C"/>
    <w:rsid w:val="0028470B"/>
    <w:rsid w:val="00285ABF"/>
    <w:rsid w:val="002A3E4B"/>
    <w:rsid w:val="002A6568"/>
    <w:rsid w:val="002B1F80"/>
    <w:rsid w:val="002E0D76"/>
    <w:rsid w:val="002F0349"/>
    <w:rsid w:val="002F0B52"/>
    <w:rsid w:val="002F1C23"/>
    <w:rsid w:val="002F53F4"/>
    <w:rsid w:val="002F6025"/>
    <w:rsid w:val="00303D31"/>
    <w:rsid w:val="003053A8"/>
    <w:rsid w:val="00305D0D"/>
    <w:rsid w:val="003065BE"/>
    <w:rsid w:val="0032259B"/>
    <w:rsid w:val="003319DA"/>
    <w:rsid w:val="00341DF9"/>
    <w:rsid w:val="003529C2"/>
    <w:rsid w:val="003874AE"/>
    <w:rsid w:val="003945EA"/>
    <w:rsid w:val="003A2D08"/>
    <w:rsid w:val="003C5536"/>
    <w:rsid w:val="003C5F40"/>
    <w:rsid w:val="003D26F3"/>
    <w:rsid w:val="003D65E2"/>
    <w:rsid w:val="003E5CFA"/>
    <w:rsid w:val="00401540"/>
    <w:rsid w:val="00402726"/>
    <w:rsid w:val="0041748C"/>
    <w:rsid w:val="00420677"/>
    <w:rsid w:val="00431245"/>
    <w:rsid w:val="00440FE7"/>
    <w:rsid w:val="00444DA6"/>
    <w:rsid w:val="0044550A"/>
    <w:rsid w:val="004504CB"/>
    <w:rsid w:val="004515D3"/>
    <w:rsid w:val="00455FC8"/>
    <w:rsid w:val="0046335F"/>
    <w:rsid w:val="00482BB7"/>
    <w:rsid w:val="00483886"/>
    <w:rsid w:val="0048530C"/>
    <w:rsid w:val="00485A55"/>
    <w:rsid w:val="0049491E"/>
    <w:rsid w:val="00495F9A"/>
    <w:rsid w:val="004970A5"/>
    <w:rsid w:val="00497FCC"/>
    <w:rsid w:val="004A1326"/>
    <w:rsid w:val="004A6660"/>
    <w:rsid w:val="004A680A"/>
    <w:rsid w:val="004C779B"/>
    <w:rsid w:val="004D0B82"/>
    <w:rsid w:val="004D203C"/>
    <w:rsid w:val="004E11AB"/>
    <w:rsid w:val="004E31C2"/>
    <w:rsid w:val="004E42B9"/>
    <w:rsid w:val="004E5C50"/>
    <w:rsid w:val="004F0ED5"/>
    <w:rsid w:val="004F2399"/>
    <w:rsid w:val="00510B18"/>
    <w:rsid w:val="0051377B"/>
    <w:rsid w:val="005152AC"/>
    <w:rsid w:val="00517319"/>
    <w:rsid w:val="00522C0E"/>
    <w:rsid w:val="0053500B"/>
    <w:rsid w:val="005406C4"/>
    <w:rsid w:val="00541B2B"/>
    <w:rsid w:val="00541F23"/>
    <w:rsid w:val="00541F4A"/>
    <w:rsid w:val="00543A1D"/>
    <w:rsid w:val="005551C1"/>
    <w:rsid w:val="00564B06"/>
    <w:rsid w:val="00565065"/>
    <w:rsid w:val="00574FD0"/>
    <w:rsid w:val="0057663A"/>
    <w:rsid w:val="00580EA7"/>
    <w:rsid w:val="00586850"/>
    <w:rsid w:val="00593D0A"/>
    <w:rsid w:val="00596678"/>
    <w:rsid w:val="005A1C83"/>
    <w:rsid w:val="005B3863"/>
    <w:rsid w:val="005C4DAC"/>
    <w:rsid w:val="005D11F5"/>
    <w:rsid w:val="005D1DB9"/>
    <w:rsid w:val="005D512B"/>
    <w:rsid w:val="005E4EE4"/>
    <w:rsid w:val="005E7BAD"/>
    <w:rsid w:val="005F1113"/>
    <w:rsid w:val="005F2F19"/>
    <w:rsid w:val="006006AE"/>
    <w:rsid w:val="006049F8"/>
    <w:rsid w:val="00607385"/>
    <w:rsid w:val="00613015"/>
    <w:rsid w:val="00617570"/>
    <w:rsid w:val="006201B5"/>
    <w:rsid w:val="00624C7F"/>
    <w:rsid w:val="00635002"/>
    <w:rsid w:val="00641C9B"/>
    <w:rsid w:val="006424DA"/>
    <w:rsid w:val="006620AD"/>
    <w:rsid w:val="0066590A"/>
    <w:rsid w:val="00690175"/>
    <w:rsid w:val="00697F5D"/>
    <w:rsid w:val="006A44F0"/>
    <w:rsid w:val="006A5D2B"/>
    <w:rsid w:val="006C7C80"/>
    <w:rsid w:val="006D0A7A"/>
    <w:rsid w:val="006D5A9D"/>
    <w:rsid w:val="006E6927"/>
    <w:rsid w:val="006E7337"/>
    <w:rsid w:val="006E7974"/>
    <w:rsid w:val="006F0D6E"/>
    <w:rsid w:val="00703DEC"/>
    <w:rsid w:val="00705838"/>
    <w:rsid w:val="00710FDE"/>
    <w:rsid w:val="00730B4C"/>
    <w:rsid w:val="00732DFE"/>
    <w:rsid w:val="00745D91"/>
    <w:rsid w:val="0075113F"/>
    <w:rsid w:val="00753FC0"/>
    <w:rsid w:val="00766095"/>
    <w:rsid w:val="0076634D"/>
    <w:rsid w:val="00785F4D"/>
    <w:rsid w:val="00792B4F"/>
    <w:rsid w:val="007960B8"/>
    <w:rsid w:val="007B763C"/>
    <w:rsid w:val="007C1C3B"/>
    <w:rsid w:val="007C2BA0"/>
    <w:rsid w:val="007C639D"/>
    <w:rsid w:val="007D0692"/>
    <w:rsid w:val="007D28C0"/>
    <w:rsid w:val="007D6663"/>
    <w:rsid w:val="007D67EA"/>
    <w:rsid w:val="007D771D"/>
    <w:rsid w:val="007F247F"/>
    <w:rsid w:val="007F3365"/>
    <w:rsid w:val="007F4DFE"/>
    <w:rsid w:val="0080490D"/>
    <w:rsid w:val="00804A08"/>
    <w:rsid w:val="008114D5"/>
    <w:rsid w:val="00856C22"/>
    <w:rsid w:val="00861157"/>
    <w:rsid w:val="0088442C"/>
    <w:rsid w:val="008950AB"/>
    <w:rsid w:val="00897404"/>
    <w:rsid w:val="00897A77"/>
    <w:rsid w:val="008A25A0"/>
    <w:rsid w:val="008A28EA"/>
    <w:rsid w:val="008B5222"/>
    <w:rsid w:val="008C243A"/>
    <w:rsid w:val="008C3257"/>
    <w:rsid w:val="008D052F"/>
    <w:rsid w:val="008D17F0"/>
    <w:rsid w:val="008D389B"/>
    <w:rsid w:val="008E2D6E"/>
    <w:rsid w:val="008F19C3"/>
    <w:rsid w:val="008F3DC5"/>
    <w:rsid w:val="008F47B7"/>
    <w:rsid w:val="0090054B"/>
    <w:rsid w:val="00902781"/>
    <w:rsid w:val="009115F7"/>
    <w:rsid w:val="00915D9E"/>
    <w:rsid w:val="00953834"/>
    <w:rsid w:val="009627EB"/>
    <w:rsid w:val="00964F3A"/>
    <w:rsid w:val="00970434"/>
    <w:rsid w:val="0097134C"/>
    <w:rsid w:val="009717A0"/>
    <w:rsid w:val="00971CF7"/>
    <w:rsid w:val="009842AE"/>
    <w:rsid w:val="00986C7E"/>
    <w:rsid w:val="00987E91"/>
    <w:rsid w:val="00990E95"/>
    <w:rsid w:val="00996D5D"/>
    <w:rsid w:val="009976C2"/>
    <w:rsid w:val="00997FDF"/>
    <w:rsid w:val="009A0362"/>
    <w:rsid w:val="009A24BD"/>
    <w:rsid w:val="009A27A0"/>
    <w:rsid w:val="009A3212"/>
    <w:rsid w:val="009A7A94"/>
    <w:rsid w:val="009A7E7D"/>
    <w:rsid w:val="009B4441"/>
    <w:rsid w:val="009C3BED"/>
    <w:rsid w:val="009D551D"/>
    <w:rsid w:val="009E39EE"/>
    <w:rsid w:val="009F4F27"/>
    <w:rsid w:val="009F6537"/>
    <w:rsid w:val="00A022B0"/>
    <w:rsid w:val="00A07527"/>
    <w:rsid w:val="00A15397"/>
    <w:rsid w:val="00A21A18"/>
    <w:rsid w:val="00A32DC5"/>
    <w:rsid w:val="00A37F3C"/>
    <w:rsid w:val="00A4735F"/>
    <w:rsid w:val="00A50E4D"/>
    <w:rsid w:val="00A532A8"/>
    <w:rsid w:val="00A61559"/>
    <w:rsid w:val="00A71129"/>
    <w:rsid w:val="00AB573E"/>
    <w:rsid w:val="00AB62ED"/>
    <w:rsid w:val="00AB746C"/>
    <w:rsid w:val="00AB74A5"/>
    <w:rsid w:val="00AC0618"/>
    <w:rsid w:val="00AD0907"/>
    <w:rsid w:val="00AD18AE"/>
    <w:rsid w:val="00AD4071"/>
    <w:rsid w:val="00AD56BD"/>
    <w:rsid w:val="00AE0FD0"/>
    <w:rsid w:val="00AE553E"/>
    <w:rsid w:val="00AE76F5"/>
    <w:rsid w:val="00AF2510"/>
    <w:rsid w:val="00AF2C90"/>
    <w:rsid w:val="00B12166"/>
    <w:rsid w:val="00B13F31"/>
    <w:rsid w:val="00B47BDF"/>
    <w:rsid w:val="00B51A2B"/>
    <w:rsid w:val="00B52F0D"/>
    <w:rsid w:val="00B5416D"/>
    <w:rsid w:val="00B54E2A"/>
    <w:rsid w:val="00B63AAB"/>
    <w:rsid w:val="00B67224"/>
    <w:rsid w:val="00B74E99"/>
    <w:rsid w:val="00B86ADE"/>
    <w:rsid w:val="00B879A5"/>
    <w:rsid w:val="00B93500"/>
    <w:rsid w:val="00B95BAF"/>
    <w:rsid w:val="00B96CEA"/>
    <w:rsid w:val="00BA3E8A"/>
    <w:rsid w:val="00BB5289"/>
    <w:rsid w:val="00BB73C6"/>
    <w:rsid w:val="00BC3F43"/>
    <w:rsid w:val="00BC4EC6"/>
    <w:rsid w:val="00BC6EF6"/>
    <w:rsid w:val="00BD1186"/>
    <w:rsid w:val="00BD7656"/>
    <w:rsid w:val="00BE1134"/>
    <w:rsid w:val="00BE4491"/>
    <w:rsid w:val="00BE5006"/>
    <w:rsid w:val="00BE5EE9"/>
    <w:rsid w:val="00BF2540"/>
    <w:rsid w:val="00BF6EBA"/>
    <w:rsid w:val="00C02816"/>
    <w:rsid w:val="00C04899"/>
    <w:rsid w:val="00C15E97"/>
    <w:rsid w:val="00C20FA7"/>
    <w:rsid w:val="00C23608"/>
    <w:rsid w:val="00C439D9"/>
    <w:rsid w:val="00C60ED8"/>
    <w:rsid w:val="00C664C9"/>
    <w:rsid w:val="00C85C10"/>
    <w:rsid w:val="00C93F24"/>
    <w:rsid w:val="00CA101F"/>
    <w:rsid w:val="00CA27EA"/>
    <w:rsid w:val="00CA35C8"/>
    <w:rsid w:val="00CA48BF"/>
    <w:rsid w:val="00CA5500"/>
    <w:rsid w:val="00CA78CD"/>
    <w:rsid w:val="00CB0D66"/>
    <w:rsid w:val="00CB45C7"/>
    <w:rsid w:val="00CB5AAB"/>
    <w:rsid w:val="00CB7427"/>
    <w:rsid w:val="00CD2CA2"/>
    <w:rsid w:val="00CD54D8"/>
    <w:rsid w:val="00CD61B8"/>
    <w:rsid w:val="00CE37B6"/>
    <w:rsid w:val="00CE5076"/>
    <w:rsid w:val="00CF6420"/>
    <w:rsid w:val="00D004C5"/>
    <w:rsid w:val="00D0435B"/>
    <w:rsid w:val="00D07A96"/>
    <w:rsid w:val="00D124FD"/>
    <w:rsid w:val="00D141AC"/>
    <w:rsid w:val="00D2163D"/>
    <w:rsid w:val="00D2179A"/>
    <w:rsid w:val="00D22716"/>
    <w:rsid w:val="00D261DA"/>
    <w:rsid w:val="00D277D5"/>
    <w:rsid w:val="00D31E0F"/>
    <w:rsid w:val="00D3286A"/>
    <w:rsid w:val="00D465BE"/>
    <w:rsid w:val="00D46B01"/>
    <w:rsid w:val="00D5021B"/>
    <w:rsid w:val="00D50963"/>
    <w:rsid w:val="00D72F42"/>
    <w:rsid w:val="00D81BD3"/>
    <w:rsid w:val="00D91BFD"/>
    <w:rsid w:val="00DA01F7"/>
    <w:rsid w:val="00DA1C38"/>
    <w:rsid w:val="00DA2F62"/>
    <w:rsid w:val="00DB0C3A"/>
    <w:rsid w:val="00DB60C8"/>
    <w:rsid w:val="00DB7279"/>
    <w:rsid w:val="00DC28BB"/>
    <w:rsid w:val="00DC4132"/>
    <w:rsid w:val="00DC5CEA"/>
    <w:rsid w:val="00DD24AF"/>
    <w:rsid w:val="00DE299F"/>
    <w:rsid w:val="00DF1163"/>
    <w:rsid w:val="00DF3679"/>
    <w:rsid w:val="00E024E7"/>
    <w:rsid w:val="00E10AC7"/>
    <w:rsid w:val="00E10B5C"/>
    <w:rsid w:val="00E12E89"/>
    <w:rsid w:val="00E160DC"/>
    <w:rsid w:val="00E2360A"/>
    <w:rsid w:val="00E379F7"/>
    <w:rsid w:val="00E41F30"/>
    <w:rsid w:val="00E50049"/>
    <w:rsid w:val="00E539C9"/>
    <w:rsid w:val="00E62DDC"/>
    <w:rsid w:val="00E65ABE"/>
    <w:rsid w:val="00E765CE"/>
    <w:rsid w:val="00E77CB8"/>
    <w:rsid w:val="00E77F72"/>
    <w:rsid w:val="00E842F7"/>
    <w:rsid w:val="00E8489A"/>
    <w:rsid w:val="00E965E7"/>
    <w:rsid w:val="00EA28B0"/>
    <w:rsid w:val="00EA3422"/>
    <w:rsid w:val="00EA68E5"/>
    <w:rsid w:val="00EB02EF"/>
    <w:rsid w:val="00EB735F"/>
    <w:rsid w:val="00EC09DD"/>
    <w:rsid w:val="00EC708C"/>
    <w:rsid w:val="00EE22E4"/>
    <w:rsid w:val="00EF4895"/>
    <w:rsid w:val="00F01A0B"/>
    <w:rsid w:val="00F03929"/>
    <w:rsid w:val="00F0463C"/>
    <w:rsid w:val="00F05340"/>
    <w:rsid w:val="00F129D5"/>
    <w:rsid w:val="00F16B41"/>
    <w:rsid w:val="00F22CF9"/>
    <w:rsid w:val="00F26308"/>
    <w:rsid w:val="00F26F0E"/>
    <w:rsid w:val="00F27D00"/>
    <w:rsid w:val="00F40A9A"/>
    <w:rsid w:val="00F41CFF"/>
    <w:rsid w:val="00F45E4B"/>
    <w:rsid w:val="00F516F7"/>
    <w:rsid w:val="00F60221"/>
    <w:rsid w:val="00F737DF"/>
    <w:rsid w:val="00F75F5C"/>
    <w:rsid w:val="00F84015"/>
    <w:rsid w:val="00F956E3"/>
    <w:rsid w:val="00F95E90"/>
    <w:rsid w:val="00FA428B"/>
    <w:rsid w:val="00FA5FC5"/>
    <w:rsid w:val="00FC000A"/>
    <w:rsid w:val="00FD2348"/>
    <w:rsid w:val="00FD38E8"/>
    <w:rsid w:val="00FE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0175"/>
  </w:style>
  <w:style w:type="paragraph" w:styleId="a4">
    <w:name w:val="header"/>
    <w:basedOn w:val="a"/>
    <w:link w:val="a5"/>
    <w:rsid w:val="00690175"/>
    <w:pPr>
      <w:tabs>
        <w:tab w:val="center" w:pos="4536"/>
        <w:tab w:val="right" w:pos="9072"/>
      </w:tabs>
    </w:pPr>
    <w:rPr>
      <w:rFonts w:ascii="Times New Roman CYR" w:hAnsi="Times New Roman CYR" w:cs="Times New Roman CYR"/>
    </w:rPr>
  </w:style>
  <w:style w:type="character" w:customStyle="1" w:styleId="a5">
    <w:name w:val="Верхний колонтитул Знак"/>
    <w:basedOn w:val="a0"/>
    <w:link w:val="a4"/>
    <w:rsid w:val="00690175"/>
    <w:rPr>
      <w:rFonts w:ascii="Times New Roman CYR" w:eastAsia="Times New Roman" w:hAnsi="Times New Roman CYR" w:cs="Times New Roman CYR"/>
      <w:sz w:val="24"/>
      <w:szCs w:val="24"/>
      <w:lang w:eastAsia="ru-RU"/>
    </w:rPr>
  </w:style>
  <w:style w:type="paragraph" w:styleId="a6">
    <w:name w:val="footer"/>
    <w:basedOn w:val="a"/>
    <w:link w:val="a7"/>
    <w:rsid w:val="00690175"/>
    <w:pPr>
      <w:tabs>
        <w:tab w:val="center" w:pos="4536"/>
        <w:tab w:val="right" w:pos="9072"/>
      </w:tabs>
    </w:pPr>
    <w:rPr>
      <w:rFonts w:ascii="Times New Roman CYR" w:hAnsi="Times New Roman CYR" w:cs="Times New Roman CYR"/>
    </w:rPr>
  </w:style>
  <w:style w:type="character" w:customStyle="1" w:styleId="a7">
    <w:name w:val="Нижний колонтитул Знак"/>
    <w:basedOn w:val="a0"/>
    <w:link w:val="a6"/>
    <w:rsid w:val="00690175"/>
    <w:rPr>
      <w:rFonts w:ascii="Times New Roman CYR" w:eastAsia="Times New Roman" w:hAnsi="Times New Roman CYR" w:cs="Times New Roman CYR"/>
      <w:sz w:val="24"/>
      <w:szCs w:val="24"/>
      <w:lang w:eastAsia="ru-RU"/>
    </w:rPr>
  </w:style>
  <w:style w:type="paragraph" w:styleId="a8">
    <w:name w:val="Body Text Indent"/>
    <w:basedOn w:val="a"/>
    <w:link w:val="a9"/>
    <w:rsid w:val="00690175"/>
    <w:pPr>
      <w:jc w:val="both"/>
    </w:pPr>
    <w:rPr>
      <w:sz w:val="20"/>
      <w:szCs w:val="20"/>
    </w:rPr>
  </w:style>
  <w:style w:type="character" w:customStyle="1" w:styleId="a9">
    <w:name w:val="Основной текст с отступом Знак"/>
    <w:basedOn w:val="a0"/>
    <w:link w:val="a8"/>
    <w:rsid w:val="00690175"/>
    <w:rPr>
      <w:rFonts w:ascii="Times New Roman" w:eastAsia="Times New Roman" w:hAnsi="Times New Roman" w:cs="Times New Roman"/>
      <w:sz w:val="20"/>
      <w:szCs w:val="20"/>
      <w:lang w:eastAsia="ru-RU"/>
    </w:rPr>
  </w:style>
  <w:style w:type="paragraph" w:styleId="aa">
    <w:name w:val="Body Text"/>
    <w:basedOn w:val="a"/>
    <w:link w:val="ab"/>
    <w:rsid w:val="00690175"/>
    <w:pPr>
      <w:jc w:val="both"/>
    </w:pPr>
    <w:rPr>
      <w:rFonts w:ascii="Arial" w:hAnsi="Arial" w:cs="Arial"/>
    </w:rPr>
  </w:style>
  <w:style w:type="character" w:customStyle="1" w:styleId="ab">
    <w:name w:val="Основной текст Знак"/>
    <w:basedOn w:val="a0"/>
    <w:link w:val="aa"/>
    <w:rsid w:val="00690175"/>
    <w:rPr>
      <w:rFonts w:ascii="Arial" w:eastAsia="Times New Roman" w:hAnsi="Arial" w:cs="Arial"/>
      <w:sz w:val="24"/>
      <w:szCs w:val="24"/>
      <w:lang w:eastAsia="ru-RU"/>
    </w:rPr>
  </w:style>
  <w:style w:type="paragraph" w:styleId="3">
    <w:name w:val="Body Text Indent 3"/>
    <w:basedOn w:val="a"/>
    <w:link w:val="30"/>
    <w:rsid w:val="00690175"/>
    <w:pPr>
      <w:ind w:left="283" w:firstLine="437"/>
      <w:jc w:val="both"/>
    </w:pPr>
    <w:rPr>
      <w:sz w:val="20"/>
      <w:szCs w:val="20"/>
    </w:rPr>
  </w:style>
  <w:style w:type="character" w:customStyle="1" w:styleId="30">
    <w:name w:val="Основной текст с отступом 3 Знак"/>
    <w:basedOn w:val="a0"/>
    <w:link w:val="3"/>
    <w:rsid w:val="00690175"/>
    <w:rPr>
      <w:rFonts w:ascii="Times New Roman" w:eastAsia="Times New Roman" w:hAnsi="Times New Roman" w:cs="Times New Roman"/>
      <w:sz w:val="20"/>
      <w:szCs w:val="20"/>
      <w:lang w:eastAsia="ru-RU"/>
    </w:rPr>
  </w:style>
  <w:style w:type="paragraph" w:styleId="2">
    <w:name w:val="Body Text 2"/>
    <w:basedOn w:val="a"/>
    <w:link w:val="20"/>
    <w:rsid w:val="00690175"/>
    <w:pPr>
      <w:spacing w:after="120" w:line="480" w:lineRule="auto"/>
    </w:pPr>
  </w:style>
  <w:style w:type="character" w:customStyle="1" w:styleId="20">
    <w:name w:val="Основной текст 2 Знак"/>
    <w:basedOn w:val="a0"/>
    <w:link w:val="2"/>
    <w:rsid w:val="00690175"/>
    <w:rPr>
      <w:rFonts w:ascii="Times New Roman" w:eastAsia="Times New Roman" w:hAnsi="Times New Roman" w:cs="Times New Roman"/>
      <w:sz w:val="24"/>
      <w:szCs w:val="24"/>
      <w:lang w:eastAsia="ru-RU"/>
    </w:rPr>
  </w:style>
  <w:style w:type="paragraph" w:styleId="ac">
    <w:name w:val="Normal (Web)"/>
    <w:basedOn w:val="a"/>
    <w:rsid w:val="00690175"/>
    <w:pPr>
      <w:spacing w:before="100" w:beforeAutospacing="1" w:after="100" w:afterAutospacing="1"/>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0175"/>
  </w:style>
  <w:style w:type="paragraph" w:styleId="a4">
    <w:name w:val="header"/>
    <w:basedOn w:val="a"/>
    <w:link w:val="a5"/>
    <w:rsid w:val="00690175"/>
    <w:pPr>
      <w:tabs>
        <w:tab w:val="center" w:pos="4536"/>
        <w:tab w:val="right" w:pos="9072"/>
      </w:tabs>
    </w:pPr>
    <w:rPr>
      <w:rFonts w:ascii="Times New Roman CYR" w:hAnsi="Times New Roman CYR" w:cs="Times New Roman CYR"/>
    </w:rPr>
  </w:style>
  <w:style w:type="character" w:customStyle="1" w:styleId="a5">
    <w:name w:val="Верхний колонтитул Знак"/>
    <w:basedOn w:val="a0"/>
    <w:link w:val="a4"/>
    <w:rsid w:val="00690175"/>
    <w:rPr>
      <w:rFonts w:ascii="Times New Roman CYR" w:eastAsia="Times New Roman" w:hAnsi="Times New Roman CYR" w:cs="Times New Roman CYR"/>
      <w:sz w:val="24"/>
      <w:szCs w:val="24"/>
      <w:lang w:eastAsia="ru-RU"/>
    </w:rPr>
  </w:style>
  <w:style w:type="paragraph" w:styleId="a6">
    <w:name w:val="footer"/>
    <w:basedOn w:val="a"/>
    <w:link w:val="a7"/>
    <w:rsid w:val="00690175"/>
    <w:pPr>
      <w:tabs>
        <w:tab w:val="center" w:pos="4536"/>
        <w:tab w:val="right" w:pos="9072"/>
      </w:tabs>
    </w:pPr>
    <w:rPr>
      <w:rFonts w:ascii="Times New Roman CYR" w:hAnsi="Times New Roman CYR" w:cs="Times New Roman CYR"/>
    </w:rPr>
  </w:style>
  <w:style w:type="character" w:customStyle="1" w:styleId="a7">
    <w:name w:val="Нижний колонтитул Знак"/>
    <w:basedOn w:val="a0"/>
    <w:link w:val="a6"/>
    <w:rsid w:val="00690175"/>
    <w:rPr>
      <w:rFonts w:ascii="Times New Roman CYR" w:eastAsia="Times New Roman" w:hAnsi="Times New Roman CYR" w:cs="Times New Roman CYR"/>
      <w:sz w:val="24"/>
      <w:szCs w:val="24"/>
      <w:lang w:eastAsia="ru-RU"/>
    </w:rPr>
  </w:style>
  <w:style w:type="paragraph" w:styleId="a8">
    <w:name w:val="Body Text Indent"/>
    <w:basedOn w:val="a"/>
    <w:link w:val="a9"/>
    <w:rsid w:val="00690175"/>
    <w:pPr>
      <w:jc w:val="both"/>
    </w:pPr>
    <w:rPr>
      <w:sz w:val="20"/>
      <w:szCs w:val="20"/>
    </w:rPr>
  </w:style>
  <w:style w:type="character" w:customStyle="1" w:styleId="a9">
    <w:name w:val="Основной текст с отступом Знак"/>
    <w:basedOn w:val="a0"/>
    <w:link w:val="a8"/>
    <w:rsid w:val="00690175"/>
    <w:rPr>
      <w:rFonts w:ascii="Times New Roman" w:eastAsia="Times New Roman" w:hAnsi="Times New Roman" w:cs="Times New Roman"/>
      <w:sz w:val="20"/>
      <w:szCs w:val="20"/>
      <w:lang w:eastAsia="ru-RU"/>
    </w:rPr>
  </w:style>
  <w:style w:type="paragraph" w:styleId="aa">
    <w:name w:val="Body Text"/>
    <w:basedOn w:val="a"/>
    <w:link w:val="ab"/>
    <w:rsid w:val="00690175"/>
    <w:pPr>
      <w:jc w:val="both"/>
    </w:pPr>
    <w:rPr>
      <w:rFonts w:ascii="Arial" w:hAnsi="Arial" w:cs="Arial"/>
    </w:rPr>
  </w:style>
  <w:style w:type="character" w:customStyle="1" w:styleId="ab">
    <w:name w:val="Основной текст Знак"/>
    <w:basedOn w:val="a0"/>
    <w:link w:val="aa"/>
    <w:rsid w:val="00690175"/>
    <w:rPr>
      <w:rFonts w:ascii="Arial" w:eastAsia="Times New Roman" w:hAnsi="Arial" w:cs="Arial"/>
      <w:sz w:val="24"/>
      <w:szCs w:val="24"/>
      <w:lang w:eastAsia="ru-RU"/>
    </w:rPr>
  </w:style>
  <w:style w:type="paragraph" w:styleId="3">
    <w:name w:val="Body Text Indent 3"/>
    <w:basedOn w:val="a"/>
    <w:link w:val="30"/>
    <w:rsid w:val="00690175"/>
    <w:pPr>
      <w:ind w:left="283" w:firstLine="437"/>
      <w:jc w:val="both"/>
    </w:pPr>
    <w:rPr>
      <w:sz w:val="20"/>
      <w:szCs w:val="20"/>
    </w:rPr>
  </w:style>
  <w:style w:type="character" w:customStyle="1" w:styleId="30">
    <w:name w:val="Основной текст с отступом 3 Знак"/>
    <w:basedOn w:val="a0"/>
    <w:link w:val="3"/>
    <w:rsid w:val="00690175"/>
    <w:rPr>
      <w:rFonts w:ascii="Times New Roman" w:eastAsia="Times New Roman" w:hAnsi="Times New Roman" w:cs="Times New Roman"/>
      <w:sz w:val="20"/>
      <w:szCs w:val="20"/>
      <w:lang w:eastAsia="ru-RU"/>
    </w:rPr>
  </w:style>
  <w:style w:type="paragraph" w:styleId="2">
    <w:name w:val="Body Text 2"/>
    <w:basedOn w:val="a"/>
    <w:link w:val="20"/>
    <w:rsid w:val="00690175"/>
    <w:pPr>
      <w:spacing w:after="120" w:line="480" w:lineRule="auto"/>
    </w:pPr>
  </w:style>
  <w:style w:type="character" w:customStyle="1" w:styleId="20">
    <w:name w:val="Основной текст 2 Знак"/>
    <w:basedOn w:val="a0"/>
    <w:link w:val="2"/>
    <w:rsid w:val="00690175"/>
    <w:rPr>
      <w:rFonts w:ascii="Times New Roman" w:eastAsia="Times New Roman" w:hAnsi="Times New Roman" w:cs="Times New Roman"/>
      <w:sz w:val="24"/>
      <w:szCs w:val="24"/>
      <w:lang w:eastAsia="ru-RU"/>
    </w:rPr>
  </w:style>
  <w:style w:type="paragraph" w:styleId="ac">
    <w:name w:val="Normal (Web)"/>
    <w:basedOn w:val="a"/>
    <w:rsid w:val="00690175"/>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ZhurbaTA</dc:creator>
  <cp:lastModifiedBy>Сукачева Е.С.</cp:lastModifiedBy>
  <cp:revision>2</cp:revision>
  <dcterms:created xsi:type="dcterms:W3CDTF">2012-12-29T04:53:00Z</dcterms:created>
  <dcterms:modified xsi:type="dcterms:W3CDTF">2012-12-29T04:53:00Z</dcterms:modified>
</cp:coreProperties>
</file>