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>Приложение № 2</w:t>
      </w:r>
    </w:p>
    <w:p w:rsidR="00070123" w:rsidRPr="000B43A8" w:rsidRDefault="00C7642C" w:rsidP="00C7642C">
      <w:pPr>
        <w:tabs>
          <w:tab w:val="left" w:pos="0"/>
          <w:tab w:val="left" w:pos="9639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070123" w:rsidRPr="000B43A8">
        <w:rPr>
          <w:sz w:val="18"/>
          <w:szCs w:val="18"/>
        </w:rPr>
        <w:t>к Договору комиссии « Об оказании брокерских услуг на рынке ценных бумаг».</w:t>
      </w:r>
    </w:p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>№ ___________ от «_____» ______________ 20____г.</w:t>
      </w:r>
    </w:p>
    <w:p w:rsidR="000B151C" w:rsidRPr="00FE5A9C" w:rsidRDefault="000B151C" w:rsidP="000B151C">
      <w:pPr>
        <w:jc w:val="center"/>
        <w:rPr>
          <w:b/>
          <w:bCs/>
        </w:rPr>
      </w:pPr>
      <w:r w:rsidRPr="00EC3E30">
        <w:rPr>
          <w:b/>
          <w:bCs/>
        </w:rPr>
        <w:t xml:space="preserve">Тарифы комиссионного вознаграждения </w:t>
      </w:r>
      <w:r w:rsidR="002E4203">
        <w:rPr>
          <w:b/>
          <w:bCs/>
        </w:rPr>
        <w:t>АО</w:t>
      </w:r>
      <w:r w:rsidRPr="00EC3E30">
        <w:rPr>
          <w:b/>
          <w:bCs/>
        </w:rPr>
        <w:t xml:space="preserve"> КБ «Солидарность</w:t>
      </w:r>
      <w:r w:rsidR="00FE5A9C" w:rsidRPr="00FE5A9C">
        <w:rPr>
          <w:b/>
          <w:bCs/>
        </w:rPr>
        <w:t>*</w:t>
      </w:r>
      <w:r w:rsidRPr="00EC3E30">
        <w:rPr>
          <w:b/>
          <w:bCs/>
        </w:rPr>
        <w:t xml:space="preserve"> 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7654"/>
      </w:tblGrid>
      <w:tr w:rsidR="000B151C" w:rsidRPr="00EC3E30" w:rsidTr="0055004F">
        <w:tc>
          <w:tcPr>
            <w:tcW w:w="20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B151C" w:rsidRPr="00EC3E30" w:rsidRDefault="000B151C" w:rsidP="00A75CA6">
            <w:pPr>
              <w:jc w:val="center"/>
              <w:rPr>
                <w:rFonts w:eastAsia="Calibri"/>
                <w:b/>
                <w:i/>
                <w:sz w:val="18"/>
              </w:rPr>
            </w:pPr>
            <w:r w:rsidRPr="00EC3E30">
              <w:rPr>
                <w:rFonts w:eastAsia="Calibri"/>
                <w:b/>
                <w:i/>
                <w:sz w:val="18"/>
              </w:rPr>
              <w:t>Наименование услуги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151C" w:rsidRPr="00FC1AA2" w:rsidRDefault="000B151C" w:rsidP="00FE5A9C">
            <w:pPr>
              <w:jc w:val="center"/>
              <w:rPr>
                <w:rFonts w:eastAsia="Calibri"/>
                <w:sz w:val="18"/>
                <w:lang w:val="en-US"/>
              </w:rPr>
            </w:pPr>
            <w:r w:rsidRPr="00EC3E30">
              <w:rPr>
                <w:rFonts w:eastAsia="Calibri"/>
                <w:b/>
                <w:i/>
                <w:sz w:val="18"/>
              </w:rPr>
              <w:t>Ставки комиссионного вознаграждения</w:t>
            </w:r>
            <w:r>
              <w:rPr>
                <w:rFonts w:eastAsia="Calibri"/>
                <w:b/>
                <w:i/>
                <w:sz w:val="18"/>
                <w:lang w:val="en-US"/>
              </w:rPr>
              <w:t>*</w:t>
            </w:r>
            <w:r w:rsidR="00FE5A9C">
              <w:rPr>
                <w:rFonts w:eastAsia="Calibri"/>
                <w:b/>
                <w:i/>
                <w:sz w:val="18"/>
                <w:lang w:val="en-US"/>
              </w:rPr>
              <w:t>*</w:t>
            </w:r>
          </w:p>
        </w:tc>
      </w:tr>
      <w:tr w:rsidR="008D0BBD" w:rsidRPr="00EC3E30" w:rsidTr="0055004F">
        <w:tc>
          <w:tcPr>
            <w:tcW w:w="2093" w:type="dxa"/>
            <w:tcBorders>
              <w:bottom w:val="single" w:sz="12" w:space="0" w:color="auto"/>
            </w:tcBorders>
          </w:tcPr>
          <w:p w:rsidR="008D0BBD" w:rsidRPr="00EC3E30" w:rsidRDefault="008D0BBD" w:rsidP="00A75CA6">
            <w:pPr>
              <w:rPr>
                <w:rFonts w:eastAsia="Calibri"/>
                <w:sz w:val="18"/>
              </w:rPr>
            </w:pPr>
            <w:r w:rsidRPr="00EC3E30">
              <w:rPr>
                <w:rFonts w:eastAsia="Calibri"/>
                <w:sz w:val="18"/>
              </w:rPr>
              <w:t>Брокерская комиссия Банка по ценным бумагам на всех торговых площадках.</w:t>
            </w:r>
          </w:p>
        </w:tc>
        <w:tc>
          <w:tcPr>
            <w:tcW w:w="7654" w:type="dxa"/>
            <w:tcBorders>
              <w:bottom w:val="single" w:sz="12" w:space="0" w:color="auto"/>
            </w:tcBorders>
          </w:tcPr>
          <w:p w:rsidR="008D0BBD" w:rsidRPr="00A032BF" w:rsidRDefault="008D0BBD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«Дебют»</w:t>
            </w:r>
          </w:p>
          <w:p w:rsidR="008D0BBD" w:rsidRPr="00A032BF" w:rsidRDefault="008D0BBD" w:rsidP="00A75CA6">
            <w:pPr>
              <w:jc w:val="center"/>
              <w:outlineLvl w:val="3"/>
              <w:rPr>
                <w:rFonts w:eastAsia="Calibri"/>
                <w:b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Данный тарифный план применяется к Клиенту «по умолчанию»</w:t>
            </w:r>
          </w:p>
          <w:p w:rsidR="008D0BBD" w:rsidRPr="00A032BF" w:rsidRDefault="0055004F" w:rsidP="00A75CA6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b/>
                <w:sz w:val="18"/>
              </w:rPr>
              <w:t>-</w:t>
            </w:r>
            <w:r w:rsidR="008D0BBD" w:rsidRPr="00A032BF">
              <w:rPr>
                <w:rFonts w:eastAsia="Calibri"/>
                <w:b/>
                <w:sz w:val="18"/>
              </w:rPr>
              <w:t>0,04%</w:t>
            </w:r>
            <w:r w:rsidR="008D0BBD" w:rsidRPr="00EC3E30">
              <w:rPr>
                <w:rFonts w:eastAsia="Calibri"/>
                <w:sz w:val="18"/>
              </w:rPr>
              <w:t xml:space="preserve"> </w:t>
            </w:r>
            <w:r w:rsidR="008D0BBD" w:rsidRPr="00A032BF">
              <w:rPr>
                <w:rFonts w:eastAsia="Calibri"/>
                <w:sz w:val="18"/>
              </w:rPr>
              <w:t xml:space="preserve">от суммы каждой сделки. </w:t>
            </w:r>
          </w:p>
          <w:p w:rsidR="008D0BBD" w:rsidRPr="00A032BF" w:rsidRDefault="008D0BBD" w:rsidP="00A75CA6">
            <w:pPr>
              <w:tabs>
                <w:tab w:val="num" w:pos="1440"/>
                <w:tab w:val="num" w:pos="2160"/>
              </w:tabs>
              <w:ind w:left="720"/>
              <w:outlineLvl w:val="2"/>
              <w:rPr>
                <w:rFonts w:eastAsia="Calibri"/>
              </w:rPr>
            </w:pPr>
          </w:p>
          <w:p w:rsidR="008D0BBD" w:rsidRPr="00A032BF" w:rsidRDefault="008D0BBD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«Гроссмейстер»</w:t>
            </w:r>
          </w:p>
          <w:p w:rsidR="008D0BBD" w:rsidRPr="00A032BF" w:rsidRDefault="008D0BBD" w:rsidP="00A75CA6">
            <w:pPr>
              <w:jc w:val="center"/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На данный тарифный план Клиент переводится автоматически со 2 рабочего дня месяца, следующего за месяцем, в котором совокупный оборот клиента превысил  250 миллионов рублей РФ.</w:t>
            </w:r>
          </w:p>
          <w:p w:rsidR="008D0BBD" w:rsidRPr="00A032BF" w:rsidRDefault="0055004F" w:rsidP="00A75CA6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b/>
                <w:sz w:val="18"/>
              </w:rPr>
              <w:t>-</w:t>
            </w:r>
            <w:r w:rsidR="008D0BBD" w:rsidRPr="00A032BF">
              <w:rPr>
                <w:rFonts w:eastAsia="Calibri"/>
                <w:b/>
                <w:sz w:val="18"/>
              </w:rPr>
              <w:t xml:space="preserve">0,01% </w:t>
            </w:r>
            <w:r w:rsidR="008D0BBD" w:rsidRPr="00A032BF">
              <w:rPr>
                <w:rFonts w:eastAsia="Calibri"/>
                <w:sz w:val="18"/>
              </w:rPr>
              <w:t xml:space="preserve">от суммы каждой сделки. </w:t>
            </w:r>
          </w:p>
          <w:p w:rsidR="008D0BBD" w:rsidRPr="00A032BF" w:rsidRDefault="008D0BBD" w:rsidP="00A75CA6">
            <w:pPr>
              <w:jc w:val="center"/>
              <w:rPr>
                <w:rFonts w:eastAsia="Calibri"/>
                <w:sz w:val="18"/>
              </w:rPr>
            </w:pPr>
          </w:p>
          <w:p w:rsidR="008D0BBD" w:rsidRPr="00A032BF" w:rsidRDefault="008D0BBD" w:rsidP="00A75CA6">
            <w:pPr>
              <w:jc w:val="center"/>
              <w:rPr>
                <w:rFonts w:eastAsia="Calibri"/>
                <w:sz w:val="14"/>
              </w:rPr>
            </w:pPr>
            <w:r w:rsidRPr="00A032BF">
              <w:rPr>
                <w:rFonts w:eastAsia="Calibri"/>
                <w:sz w:val="14"/>
              </w:rPr>
              <w:t>В случае совершения Клиентом оборота менее 250 миллионов за месяц, в котором он был переведен на тарифный план «Гроссмейстер», Клиент автоматически переводится со 2 рабочего дня следующего месяца на тарифный план «Дебют».</w:t>
            </w:r>
          </w:p>
          <w:p w:rsidR="008D0BBD" w:rsidRPr="00A032BF" w:rsidRDefault="008D0BBD" w:rsidP="00A75CA6">
            <w:pPr>
              <w:jc w:val="center"/>
              <w:rPr>
                <w:rFonts w:eastAsia="Calibri" w:cs="Arial"/>
                <w:b/>
                <w:bCs/>
              </w:rPr>
            </w:pPr>
            <w:r w:rsidRPr="00A032BF">
              <w:rPr>
                <w:rFonts w:eastAsia="Calibri" w:cs="Arial"/>
                <w:b/>
                <w:bCs/>
              </w:rPr>
              <w:t>По акциям и облигациям в режиме торгов «РЕПО»:</w:t>
            </w:r>
          </w:p>
          <w:p w:rsidR="008D0BBD" w:rsidRPr="00A032BF" w:rsidRDefault="008D0BBD" w:rsidP="00A75CA6">
            <w:pPr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032BF">
              <w:rPr>
                <w:rFonts w:eastAsia="Calibri" w:cs="Arial"/>
                <w:b/>
                <w:bCs/>
                <w:sz w:val="16"/>
                <w:szCs w:val="16"/>
              </w:rPr>
              <w:t>Применяется ко всем тарифным планам</w:t>
            </w:r>
          </w:p>
          <w:p w:rsidR="008D0BBD" w:rsidRPr="00A032BF" w:rsidRDefault="0055004F" w:rsidP="00A75C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</w:rPr>
              <w:t>-</w:t>
            </w:r>
            <w:r w:rsidR="008D0BBD" w:rsidRPr="00A032BF">
              <w:rPr>
                <w:rFonts w:eastAsia="Calibri"/>
                <w:b/>
                <w:bCs/>
                <w:sz w:val="18"/>
              </w:rPr>
              <w:t xml:space="preserve"> 0,001%</w:t>
            </w:r>
            <w:r w:rsidR="008D0BBD">
              <w:rPr>
                <w:rFonts w:eastAsia="Calibri"/>
                <w:b/>
                <w:bCs/>
                <w:sz w:val="18"/>
              </w:rPr>
              <w:t xml:space="preserve"> </w:t>
            </w:r>
            <w:r w:rsidR="008D0BBD" w:rsidRPr="00A032BF">
              <w:rPr>
                <w:rFonts w:eastAsia="Calibri"/>
                <w:sz w:val="18"/>
              </w:rPr>
              <w:t>от суммы первой части сделки РЕПО</w:t>
            </w:r>
          </w:p>
          <w:p w:rsidR="0055004F" w:rsidRDefault="0055004F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</w:p>
          <w:p w:rsidR="008D0BBD" w:rsidRPr="00A032BF" w:rsidRDefault="008D0BBD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«Банк»</w:t>
            </w:r>
          </w:p>
          <w:p w:rsidR="008D0BBD" w:rsidRPr="00A032BF" w:rsidRDefault="008D0BBD" w:rsidP="00A75CA6">
            <w:pPr>
              <w:rPr>
                <w:rFonts w:eastAsia="Calibri"/>
                <w:b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Необходимыми для применения к Клиенту данного тарифного плана условиями являются:</w:t>
            </w:r>
          </w:p>
          <w:p w:rsidR="008D0BBD" w:rsidRPr="00A032BF" w:rsidRDefault="008D0BBD" w:rsidP="00A75CA6">
            <w:pPr>
              <w:numPr>
                <w:ilvl w:val="0"/>
                <w:numId w:val="1"/>
              </w:numPr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Клиент должен быть кредитной организацией;</w:t>
            </w:r>
          </w:p>
          <w:p w:rsidR="008D0BBD" w:rsidRPr="00A032BF" w:rsidRDefault="008D0BBD" w:rsidP="00A75CA6">
            <w:pPr>
              <w:numPr>
                <w:ilvl w:val="0"/>
                <w:numId w:val="1"/>
              </w:numPr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 xml:space="preserve">Клиент должен иметь корреспондентский счет в  </w:t>
            </w:r>
            <w:r>
              <w:rPr>
                <w:rFonts w:eastAsia="Calibri"/>
                <w:b/>
                <w:sz w:val="16"/>
              </w:rPr>
              <w:t>АО</w:t>
            </w:r>
            <w:r w:rsidRPr="00A032BF">
              <w:rPr>
                <w:rFonts w:eastAsia="Calibri"/>
                <w:b/>
                <w:sz w:val="16"/>
              </w:rPr>
              <w:t xml:space="preserve"> КБ «Солидарность».</w:t>
            </w:r>
          </w:p>
          <w:p w:rsidR="008D0BBD" w:rsidRPr="00A032BF" w:rsidRDefault="0055004F" w:rsidP="00A75CA6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b/>
                <w:sz w:val="18"/>
              </w:rPr>
              <w:t>-</w:t>
            </w:r>
            <w:r w:rsidR="008D0BBD" w:rsidRPr="00A032BF">
              <w:rPr>
                <w:rFonts w:eastAsia="Calibri"/>
                <w:b/>
                <w:sz w:val="18"/>
              </w:rPr>
              <w:t>0,00845</w:t>
            </w:r>
            <w:r w:rsidR="008D0BBD" w:rsidRPr="00A032BF">
              <w:rPr>
                <w:rFonts w:eastAsia="Calibri"/>
                <w:sz w:val="18"/>
              </w:rPr>
              <w:t xml:space="preserve"> </w:t>
            </w:r>
            <w:r w:rsidR="008D0BBD" w:rsidRPr="00A032BF">
              <w:rPr>
                <w:rFonts w:eastAsia="Calibri"/>
                <w:b/>
                <w:sz w:val="18"/>
              </w:rPr>
              <w:t>%</w:t>
            </w:r>
            <w:r w:rsidR="008D0BBD">
              <w:rPr>
                <w:rFonts w:eastAsia="Calibri"/>
                <w:b/>
                <w:sz w:val="18"/>
              </w:rPr>
              <w:t xml:space="preserve"> </w:t>
            </w:r>
            <w:r w:rsidR="008D0BBD" w:rsidRPr="00A032BF">
              <w:rPr>
                <w:rFonts w:eastAsia="Calibri"/>
                <w:sz w:val="18"/>
              </w:rPr>
              <w:t xml:space="preserve">от суммы каждой сделки </w:t>
            </w:r>
          </w:p>
          <w:p w:rsidR="008D0BBD" w:rsidRPr="00A032BF" w:rsidRDefault="008D0BBD" w:rsidP="00A75CA6">
            <w:pPr>
              <w:jc w:val="center"/>
              <w:rPr>
                <w:rFonts w:eastAsia="Calibri"/>
                <w:sz w:val="14"/>
              </w:rPr>
            </w:pPr>
            <w:r w:rsidRPr="00A032BF">
              <w:rPr>
                <w:rFonts w:eastAsia="Calibri"/>
                <w:sz w:val="18"/>
              </w:rPr>
              <w:t xml:space="preserve"> </w:t>
            </w:r>
          </w:p>
          <w:p w:rsidR="008D0BBD" w:rsidRPr="00A032BF" w:rsidRDefault="008D0BBD" w:rsidP="00A75CA6">
            <w:pPr>
              <w:jc w:val="center"/>
              <w:rPr>
                <w:rFonts w:eastAsia="Calibri"/>
                <w:sz w:val="14"/>
              </w:rPr>
            </w:pPr>
          </w:p>
          <w:p w:rsidR="008D0BBD" w:rsidRPr="00A032BF" w:rsidRDefault="008D0BBD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«СК-НПФ-1»</w:t>
            </w:r>
          </w:p>
          <w:p w:rsidR="008D0BBD" w:rsidRPr="00A032BF" w:rsidRDefault="008D0BBD" w:rsidP="00A75CA6">
            <w:pPr>
              <w:jc w:val="both"/>
              <w:rPr>
                <w:rFonts w:eastAsia="Calibri"/>
                <w:b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Данный тариф применяется к страховым компаниям и негосударственным пенсионным фондам «по умолчанию»</w:t>
            </w:r>
          </w:p>
          <w:p w:rsidR="008D0BBD" w:rsidRPr="00A032BF" w:rsidRDefault="0055004F" w:rsidP="00A75CA6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b/>
                <w:sz w:val="18"/>
              </w:rPr>
              <w:t>-</w:t>
            </w:r>
            <w:r w:rsidR="008D0BBD" w:rsidRPr="00A032BF">
              <w:rPr>
                <w:rFonts w:eastAsia="Calibri"/>
                <w:b/>
                <w:sz w:val="18"/>
              </w:rPr>
              <w:t>0,03%</w:t>
            </w:r>
            <w:r w:rsidR="008D0BBD">
              <w:rPr>
                <w:rFonts w:eastAsia="Calibri"/>
                <w:b/>
                <w:sz w:val="18"/>
              </w:rPr>
              <w:t xml:space="preserve"> </w:t>
            </w:r>
            <w:r w:rsidR="008D0BBD" w:rsidRPr="00A032BF">
              <w:rPr>
                <w:rFonts w:eastAsia="Calibri"/>
                <w:b/>
                <w:sz w:val="18"/>
              </w:rPr>
              <w:t xml:space="preserve"> </w:t>
            </w:r>
            <w:r w:rsidR="008D0BBD" w:rsidRPr="00A032BF">
              <w:rPr>
                <w:rFonts w:eastAsia="Calibri"/>
                <w:sz w:val="18"/>
              </w:rPr>
              <w:t xml:space="preserve">от суммы каждой сделки. </w:t>
            </w:r>
          </w:p>
          <w:p w:rsidR="008D0BBD" w:rsidRPr="00A032BF" w:rsidRDefault="008D0BBD" w:rsidP="00A75CA6">
            <w:pPr>
              <w:tabs>
                <w:tab w:val="num" w:pos="1440"/>
                <w:tab w:val="num" w:pos="2160"/>
              </w:tabs>
              <w:ind w:left="1800"/>
              <w:outlineLvl w:val="2"/>
              <w:rPr>
                <w:rFonts w:eastAsia="Calibri"/>
              </w:rPr>
            </w:pPr>
          </w:p>
          <w:p w:rsidR="008D0BBD" w:rsidRPr="00A032BF" w:rsidRDefault="008D0BBD" w:rsidP="00A75CA6">
            <w:pPr>
              <w:tabs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«СК-НПФ-2»</w:t>
            </w:r>
          </w:p>
          <w:p w:rsidR="008D0BBD" w:rsidRPr="00A032BF" w:rsidRDefault="008D0BBD" w:rsidP="00A75CA6">
            <w:pPr>
              <w:jc w:val="center"/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На данный тарифный план Клиент, использующий тарифный план «СК-НПФ-1» переводится автоматически со 2 рабочего дня месяца, следующего за месяцем, в котором совокупный оборот Клиента превысил 50 миллионов рублей РФ.</w:t>
            </w:r>
          </w:p>
          <w:p w:rsidR="008D0BBD" w:rsidRPr="00A032BF" w:rsidRDefault="0055004F" w:rsidP="00A75CA6">
            <w:pPr>
              <w:jc w:val="center"/>
              <w:rPr>
                <w:rFonts w:eastAsia="Calibri"/>
                <w:sz w:val="16"/>
              </w:rPr>
            </w:pPr>
            <w:r>
              <w:rPr>
                <w:rFonts w:eastAsia="Calibri"/>
                <w:b/>
                <w:sz w:val="18"/>
              </w:rPr>
              <w:t>-</w:t>
            </w:r>
            <w:r w:rsidR="008D0BBD" w:rsidRPr="00A032BF">
              <w:rPr>
                <w:rFonts w:eastAsia="Calibri"/>
                <w:b/>
                <w:sz w:val="18"/>
              </w:rPr>
              <w:t>0,02%</w:t>
            </w:r>
            <w:r w:rsidR="008D0BBD">
              <w:rPr>
                <w:rFonts w:eastAsia="Calibri"/>
                <w:b/>
                <w:sz w:val="18"/>
              </w:rPr>
              <w:t xml:space="preserve"> </w:t>
            </w:r>
            <w:r w:rsidR="008D0BBD" w:rsidRPr="00A032BF">
              <w:rPr>
                <w:rFonts w:eastAsia="Calibri"/>
                <w:sz w:val="18"/>
              </w:rPr>
              <w:t xml:space="preserve">от суммы каждой сделки </w:t>
            </w:r>
          </w:p>
          <w:p w:rsidR="008D0BBD" w:rsidRPr="00A032BF" w:rsidRDefault="008D0BBD" w:rsidP="00A75CA6">
            <w:pPr>
              <w:jc w:val="center"/>
              <w:rPr>
                <w:rFonts w:eastAsia="Calibri"/>
                <w:sz w:val="14"/>
              </w:rPr>
            </w:pPr>
          </w:p>
          <w:p w:rsidR="008D0BBD" w:rsidRPr="00A032BF" w:rsidRDefault="008D0BBD" w:rsidP="00A75CA6">
            <w:pPr>
              <w:jc w:val="center"/>
              <w:rPr>
                <w:rFonts w:eastAsia="Calibri"/>
                <w:sz w:val="14"/>
              </w:rPr>
            </w:pPr>
          </w:p>
          <w:p w:rsidR="008D0BBD" w:rsidRPr="00A032BF" w:rsidRDefault="008D0BBD" w:rsidP="00A75CA6">
            <w:pPr>
              <w:jc w:val="center"/>
              <w:rPr>
                <w:rFonts w:eastAsia="Calibri"/>
                <w:sz w:val="14"/>
              </w:rPr>
            </w:pPr>
            <w:r w:rsidRPr="00A032BF">
              <w:rPr>
                <w:rFonts w:eastAsia="Calibri"/>
                <w:sz w:val="14"/>
              </w:rPr>
              <w:t>В случае совершения Клиентом оборота менее 50 миллионов за месяц, в котором он был переведен на тарифный план «СК-НПФ-2», Клиент автоматически переводится со 2 рабочего дня следующего месяца на тарифный план «СК-НПФ-1».</w:t>
            </w:r>
          </w:p>
          <w:p w:rsidR="008D0BBD" w:rsidRPr="00A032BF" w:rsidRDefault="008D0BBD" w:rsidP="00A75CA6">
            <w:pPr>
              <w:jc w:val="center"/>
              <w:rPr>
                <w:rFonts w:eastAsia="Calibri"/>
                <w:sz w:val="14"/>
              </w:rPr>
            </w:pPr>
          </w:p>
          <w:p w:rsidR="008D0BBD" w:rsidRPr="000B151C" w:rsidRDefault="008D0BBD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0B151C">
              <w:rPr>
                <w:rFonts w:eastAsia="Calibri"/>
              </w:rPr>
              <w:t>Тарифный план «Профессионал»</w:t>
            </w:r>
          </w:p>
          <w:p w:rsidR="008D0BBD" w:rsidRPr="000B151C" w:rsidRDefault="008D0BBD" w:rsidP="00A75CA6">
            <w:pPr>
              <w:jc w:val="center"/>
              <w:rPr>
                <w:rFonts w:eastAsia="Calibri"/>
                <w:b/>
                <w:sz w:val="16"/>
              </w:rPr>
            </w:pPr>
            <w:r w:rsidRPr="000B151C">
              <w:rPr>
                <w:rFonts w:eastAsia="Calibri"/>
                <w:b/>
                <w:sz w:val="16"/>
              </w:rPr>
              <w:t>Данный тариф применяется к юридическим лицам, имеющих лицензию профессионального участника рынка ценных бумаг на осуществление брокерской деятельности.</w:t>
            </w:r>
          </w:p>
          <w:p w:rsidR="008D0BBD" w:rsidRDefault="0055004F" w:rsidP="00A75CA6">
            <w:pPr>
              <w:jc w:val="center"/>
              <w:rPr>
                <w:rFonts w:eastAsia="Calibri"/>
                <w:sz w:val="18"/>
              </w:rPr>
            </w:pPr>
            <w:r>
              <w:rPr>
                <w:rFonts w:eastAsia="Calibri"/>
                <w:b/>
                <w:sz w:val="18"/>
              </w:rPr>
              <w:t>-</w:t>
            </w:r>
            <w:r w:rsidR="008D0BBD" w:rsidRPr="000B151C">
              <w:rPr>
                <w:rFonts w:eastAsia="Calibri"/>
                <w:b/>
                <w:sz w:val="18"/>
              </w:rPr>
              <w:t>0,015%</w:t>
            </w:r>
            <w:r w:rsidR="008D0BBD" w:rsidRPr="000B151C">
              <w:rPr>
                <w:rFonts w:eastAsia="Calibri"/>
                <w:b/>
                <w:sz w:val="16"/>
              </w:rPr>
              <w:t xml:space="preserve"> </w:t>
            </w:r>
            <w:r w:rsidR="008D0BBD" w:rsidRPr="000B151C">
              <w:rPr>
                <w:rFonts w:eastAsia="Calibri"/>
                <w:sz w:val="18"/>
              </w:rPr>
              <w:t>от суммы каждой сделки</w:t>
            </w:r>
          </w:p>
          <w:p w:rsidR="008D0BBD" w:rsidRDefault="008D0BBD" w:rsidP="00A75CA6">
            <w:pPr>
              <w:jc w:val="center"/>
              <w:rPr>
                <w:rFonts w:eastAsia="Calibri"/>
                <w:sz w:val="18"/>
              </w:rPr>
            </w:pPr>
          </w:p>
          <w:p w:rsidR="008D0BBD" w:rsidRPr="009248D1" w:rsidRDefault="008D0BBD" w:rsidP="009248D1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  <w:sz w:val="20"/>
                <w:szCs w:val="20"/>
              </w:rPr>
            </w:pPr>
            <w:r w:rsidRPr="009248D1">
              <w:rPr>
                <w:rFonts w:eastAsia="Calibri"/>
                <w:szCs w:val="20"/>
              </w:rPr>
              <w:t>Тарифный план «до 500»</w:t>
            </w:r>
          </w:p>
          <w:p w:rsidR="008D0BBD" w:rsidRPr="009248D1" w:rsidRDefault="008D0BBD" w:rsidP="009248D1">
            <w:pPr>
              <w:rPr>
                <w:rFonts w:eastAsia="Calibri"/>
                <w:b/>
                <w:sz w:val="16"/>
                <w:szCs w:val="20"/>
              </w:rPr>
            </w:pPr>
            <w:r w:rsidRPr="009248D1">
              <w:rPr>
                <w:rFonts w:eastAsia="Calibri"/>
                <w:b/>
                <w:sz w:val="16"/>
                <w:szCs w:val="20"/>
              </w:rPr>
              <w:t>Необходимыми для применения к Клиенту данного тарифного плана условиями являются:</w:t>
            </w:r>
          </w:p>
          <w:p w:rsidR="008D0BBD" w:rsidRPr="009248D1" w:rsidRDefault="008D0BBD" w:rsidP="009248D1">
            <w:pPr>
              <w:numPr>
                <w:ilvl w:val="0"/>
                <w:numId w:val="1"/>
              </w:numPr>
              <w:rPr>
                <w:rFonts w:eastAsia="Calibri"/>
                <w:sz w:val="16"/>
                <w:szCs w:val="20"/>
              </w:rPr>
            </w:pPr>
            <w:r w:rsidRPr="009248D1">
              <w:rPr>
                <w:rFonts w:eastAsia="Calibri"/>
                <w:b/>
                <w:sz w:val="16"/>
                <w:szCs w:val="20"/>
              </w:rPr>
              <w:t>Остаток денежных сре</w:t>
            </w:r>
            <w:proofErr w:type="gramStart"/>
            <w:r w:rsidRPr="009248D1">
              <w:rPr>
                <w:rFonts w:eastAsia="Calibri"/>
                <w:b/>
                <w:sz w:val="16"/>
                <w:szCs w:val="20"/>
              </w:rPr>
              <w:t>дств  Кл</w:t>
            </w:r>
            <w:proofErr w:type="gramEnd"/>
            <w:r w:rsidRPr="009248D1">
              <w:rPr>
                <w:rFonts w:eastAsia="Calibri"/>
                <w:b/>
                <w:sz w:val="16"/>
                <w:szCs w:val="20"/>
              </w:rPr>
              <w:t>иента на брокерском счете 500 руб. и менее</w:t>
            </w:r>
          </w:p>
          <w:p w:rsidR="008D0BBD" w:rsidRPr="009248D1" w:rsidRDefault="008D0BBD" w:rsidP="009248D1">
            <w:pPr>
              <w:numPr>
                <w:ilvl w:val="0"/>
                <w:numId w:val="1"/>
              </w:numPr>
              <w:rPr>
                <w:rFonts w:eastAsia="Calibri"/>
                <w:sz w:val="16"/>
                <w:szCs w:val="20"/>
              </w:rPr>
            </w:pPr>
            <w:r w:rsidRPr="009248D1">
              <w:rPr>
                <w:rFonts w:eastAsia="Calibri"/>
                <w:b/>
                <w:sz w:val="16"/>
                <w:szCs w:val="20"/>
              </w:rPr>
              <w:t xml:space="preserve">Движения по брокерскому счету Клиента не было более </w:t>
            </w:r>
            <w:r>
              <w:rPr>
                <w:rFonts w:eastAsia="Calibri"/>
                <w:b/>
                <w:sz w:val="16"/>
                <w:szCs w:val="20"/>
              </w:rPr>
              <w:t>одного года</w:t>
            </w:r>
            <w:bookmarkStart w:id="0" w:name="_GoBack"/>
            <w:bookmarkEnd w:id="0"/>
          </w:p>
          <w:p w:rsidR="008D0BBD" w:rsidRPr="009248D1" w:rsidRDefault="008D0BBD" w:rsidP="009248D1">
            <w:pPr>
              <w:numPr>
                <w:ilvl w:val="0"/>
                <w:numId w:val="1"/>
              </w:numPr>
              <w:rPr>
                <w:rFonts w:eastAsia="Calibri"/>
                <w:sz w:val="16"/>
                <w:szCs w:val="20"/>
              </w:rPr>
            </w:pPr>
            <w:r w:rsidRPr="009248D1">
              <w:rPr>
                <w:rFonts w:eastAsia="Calibri"/>
                <w:b/>
                <w:sz w:val="16"/>
                <w:szCs w:val="20"/>
              </w:rPr>
              <w:t>Ценные бумаги на счете депо отсутствуют</w:t>
            </w:r>
          </w:p>
          <w:p w:rsidR="008D0BBD" w:rsidRPr="009248D1" w:rsidRDefault="008D0BBD" w:rsidP="009248D1">
            <w:pPr>
              <w:rPr>
                <w:rFonts w:eastAsia="Calibri"/>
                <w:sz w:val="16"/>
                <w:szCs w:val="20"/>
              </w:rPr>
            </w:pPr>
            <w:r w:rsidRPr="009248D1">
              <w:rPr>
                <w:rFonts w:eastAsia="Calibri"/>
                <w:b/>
                <w:sz w:val="16"/>
                <w:szCs w:val="20"/>
              </w:rPr>
              <w:t>Комиссионное вознаграждение взимается в размере 100 % от остатка денежных средств на счете, но не более 500 руб.</w:t>
            </w:r>
          </w:p>
          <w:p w:rsidR="008D0BBD" w:rsidRPr="000B151C" w:rsidRDefault="008D0BBD" w:rsidP="00A75CA6">
            <w:pPr>
              <w:jc w:val="center"/>
              <w:rPr>
                <w:rFonts w:eastAsia="Calibri"/>
                <w:sz w:val="16"/>
              </w:rPr>
            </w:pPr>
          </w:p>
          <w:p w:rsidR="008D0BBD" w:rsidRPr="00A032BF" w:rsidRDefault="008D0BBD" w:rsidP="00A75CA6">
            <w:pPr>
              <w:spacing w:before="120"/>
              <w:jc w:val="center"/>
              <w:rPr>
                <w:rFonts w:eastAsia="Calibri"/>
              </w:rPr>
            </w:pPr>
            <w:r w:rsidRPr="00A032BF">
              <w:rPr>
                <w:rFonts w:eastAsia="Calibri"/>
              </w:rPr>
              <w:t>ВО ВСЕХ ТАРИФНЫХ ПЛАНАХ</w:t>
            </w:r>
          </w:p>
          <w:p w:rsidR="008D0BBD" w:rsidRPr="00A032BF" w:rsidRDefault="008D0BBD" w:rsidP="00A75CA6">
            <w:pPr>
              <w:jc w:val="center"/>
              <w:rPr>
                <w:rFonts w:eastAsia="Calibri"/>
                <w:sz w:val="14"/>
              </w:rPr>
            </w:pPr>
          </w:p>
          <w:p w:rsidR="008D0BBD" w:rsidRPr="00A032BF" w:rsidRDefault="008D0BBD" w:rsidP="00A75CA6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A032BF">
              <w:rPr>
                <w:rFonts w:eastAsia="Calibri"/>
                <w:b/>
                <w:bCs/>
                <w:sz w:val="18"/>
              </w:rPr>
              <w:t>Комиссионное вознаграждение Банка не взимается с сумм полученных и уплаченных купонных доходов, вторых частей сделок РЕПО, сумм, полученных от погашения облигаций.</w:t>
            </w:r>
          </w:p>
          <w:p w:rsidR="008D0BBD" w:rsidRPr="00A032BF" w:rsidRDefault="008D0BBD" w:rsidP="00A75CA6">
            <w:pPr>
              <w:jc w:val="center"/>
              <w:rPr>
                <w:rFonts w:eastAsia="Calibri"/>
                <w:b/>
                <w:bCs/>
                <w:sz w:val="18"/>
              </w:rPr>
            </w:pPr>
          </w:p>
          <w:p w:rsidR="008D0BBD" w:rsidRPr="00FC1AA2" w:rsidRDefault="008D0BBD" w:rsidP="00A75CA6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A032BF">
              <w:rPr>
                <w:rFonts w:eastAsia="Calibri"/>
                <w:b/>
                <w:bCs/>
                <w:sz w:val="18"/>
              </w:rPr>
              <w:t xml:space="preserve">Комиссионное вознаграждение Банка по сделкам (кроме сделок внебиржевого РЕПО), совершенным на внебиржевом рынке, не может составлять менее </w:t>
            </w:r>
            <w:r w:rsidRPr="00A032BF">
              <w:rPr>
                <w:rFonts w:eastAsia="Calibri"/>
                <w:sz w:val="18"/>
              </w:rPr>
              <w:t>625</w:t>
            </w:r>
            <w:r w:rsidRPr="00A032BF">
              <w:rPr>
                <w:rFonts w:eastAsia="Calibri"/>
                <w:b/>
                <w:bCs/>
                <w:sz w:val="18"/>
              </w:rPr>
              <w:t xml:space="preserve"> рублей РФ</w:t>
            </w:r>
            <w:r>
              <w:rPr>
                <w:rFonts w:eastAsia="Calibri"/>
                <w:b/>
                <w:bCs/>
                <w:sz w:val="18"/>
              </w:rPr>
              <w:t xml:space="preserve"> </w:t>
            </w:r>
            <w:r w:rsidRPr="00A032BF">
              <w:rPr>
                <w:rFonts w:eastAsia="Calibri"/>
                <w:b/>
                <w:bCs/>
                <w:sz w:val="18"/>
              </w:rPr>
              <w:t>от суммы каждой сделки, за</w:t>
            </w:r>
            <w:r>
              <w:rPr>
                <w:rFonts w:eastAsia="Calibri"/>
                <w:b/>
                <w:bCs/>
                <w:sz w:val="18"/>
              </w:rPr>
              <w:t>ключенной на внебиржевом рынке.</w:t>
            </w:r>
          </w:p>
        </w:tc>
      </w:tr>
    </w:tbl>
    <w:p w:rsidR="000B151C" w:rsidRPr="00EC3E30" w:rsidRDefault="000B151C" w:rsidP="000B151C">
      <w:pPr>
        <w:jc w:val="both"/>
        <w:rPr>
          <w:rFonts w:eastAsia="Calibri"/>
          <w:sz w:val="18"/>
          <w:szCs w:val="18"/>
        </w:rPr>
      </w:pPr>
      <w:r w:rsidRPr="00EC3E30">
        <w:rPr>
          <w:rFonts w:eastAsia="Calibri"/>
          <w:sz w:val="18"/>
          <w:szCs w:val="18"/>
        </w:rPr>
        <w:t>* Все</w:t>
      </w:r>
      <w:r w:rsidR="00FE5A9C" w:rsidRPr="00FE5A9C">
        <w:rPr>
          <w:rFonts w:eastAsia="Calibri"/>
          <w:sz w:val="18"/>
          <w:szCs w:val="18"/>
        </w:rPr>
        <w:t xml:space="preserve"> </w:t>
      </w:r>
      <w:r w:rsidR="00FE5A9C">
        <w:rPr>
          <w:rFonts w:eastAsia="Calibri"/>
          <w:sz w:val="18"/>
          <w:szCs w:val="18"/>
        </w:rPr>
        <w:t>действующие</w:t>
      </w:r>
      <w:r w:rsidRPr="00EC3E30">
        <w:rPr>
          <w:rFonts w:eastAsia="Calibri"/>
          <w:sz w:val="18"/>
          <w:szCs w:val="18"/>
        </w:rPr>
        <w:t xml:space="preserve"> тарифы бирж</w:t>
      </w:r>
      <w:r w:rsidR="00FE5A9C">
        <w:rPr>
          <w:rFonts w:eastAsia="Calibri"/>
          <w:sz w:val="18"/>
          <w:szCs w:val="18"/>
        </w:rPr>
        <w:t>и</w:t>
      </w:r>
      <w:r w:rsidRPr="00EC3E30">
        <w:rPr>
          <w:rFonts w:eastAsia="Calibri"/>
          <w:sz w:val="18"/>
          <w:szCs w:val="18"/>
        </w:rPr>
        <w:t>, клирингов</w:t>
      </w:r>
      <w:r w:rsidR="00883389">
        <w:rPr>
          <w:rFonts w:eastAsia="Calibri"/>
          <w:sz w:val="18"/>
          <w:szCs w:val="18"/>
        </w:rPr>
        <w:t xml:space="preserve">ого центра приведены на сайте </w:t>
      </w:r>
      <w:hyperlink r:id="rId7" w:history="1">
        <w:r w:rsidR="0055004F" w:rsidRPr="000C61C6">
          <w:rPr>
            <w:rStyle w:val="a7"/>
            <w:rFonts w:eastAsia="Calibri"/>
            <w:sz w:val="18"/>
            <w:szCs w:val="18"/>
          </w:rPr>
          <w:t>http://www.</w:t>
        </w:r>
        <w:proofErr w:type="spellStart"/>
        <w:r w:rsidR="0055004F" w:rsidRPr="000C61C6">
          <w:rPr>
            <w:rStyle w:val="a7"/>
            <w:rFonts w:eastAsia="Calibri"/>
            <w:sz w:val="18"/>
            <w:szCs w:val="18"/>
            <w:lang w:val="en-US"/>
          </w:rPr>
          <w:t>moex</w:t>
        </w:r>
        <w:proofErr w:type="spellEnd"/>
      </w:hyperlink>
      <w:r w:rsidR="0055004F" w:rsidRPr="0055004F">
        <w:rPr>
          <w:rFonts w:eastAsia="Calibri"/>
          <w:sz w:val="18"/>
          <w:szCs w:val="18"/>
        </w:rPr>
        <w:t>. в</w:t>
      </w:r>
      <w:r w:rsidRPr="00EC3E30">
        <w:rPr>
          <w:rFonts w:eastAsia="Calibri"/>
          <w:sz w:val="18"/>
          <w:szCs w:val="18"/>
        </w:rPr>
        <w:t xml:space="preserve"> разрезе брокерского обслуживания в рамках биржевой торговли.</w:t>
      </w:r>
    </w:p>
    <w:p w:rsidR="000B151C" w:rsidRPr="008E2CC8" w:rsidRDefault="0055004F" w:rsidP="000B151C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*</w:t>
      </w:r>
      <w:r w:rsidR="000B151C" w:rsidRPr="00070123">
        <w:rPr>
          <w:rFonts w:eastAsia="Calibri"/>
          <w:sz w:val="18"/>
          <w:szCs w:val="18"/>
        </w:rPr>
        <w:t xml:space="preserve">* </w:t>
      </w:r>
      <w:r w:rsidR="000B151C" w:rsidRPr="00533FBD">
        <w:rPr>
          <w:rFonts w:eastAsia="Calibri"/>
          <w:sz w:val="18"/>
          <w:szCs w:val="18"/>
        </w:rPr>
        <w:t>НДС не облагается</w:t>
      </w:r>
    </w:p>
    <w:p w:rsidR="00070123" w:rsidRDefault="00070123" w:rsidP="00070123">
      <w:pPr>
        <w:pStyle w:val="1"/>
      </w:pPr>
      <w:r>
        <w:t>ПОДПИСИ СТОРОН</w:t>
      </w:r>
    </w:p>
    <w:p w:rsidR="00070123" w:rsidRDefault="00070123" w:rsidP="00070123">
      <w:pPr>
        <w:tabs>
          <w:tab w:val="right" w:pos="8222"/>
        </w:tabs>
      </w:pPr>
      <w:r>
        <w:t xml:space="preserve">                        БАНК                                                                                           КЛИЕНТ</w:t>
      </w:r>
    </w:p>
    <w:p w:rsidR="00070123" w:rsidRPr="00070123" w:rsidRDefault="00070123" w:rsidP="00070123">
      <w:pPr>
        <w:tabs>
          <w:tab w:val="right" w:pos="180"/>
        </w:tabs>
      </w:pPr>
      <w:r>
        <w:t xml:space="preserve">______________     </w:t>
      </w:r>
      <w:r w:rsidR="009248D1">
        <w:rPr>
          <w:u w:val="single"/>
        </w:rPr>
        <w:t>_</w:t>
      </w:r>
      <w:r w:rsidR="00D5299D" w:rsidRPr="008D0BBD">
        <w:rPr>
          <w:u w:val="single"/>
        </w:rPr>
        <w:t>_____________</w:t>
      </w:r>
      <w:r>
        <w:tab/>
      </w:r>
      <w:r>
        <w:tab/>
        <w:t xml:space="preserve">         ____________     </w:t>
      </w:r>
      <w:r w:rsidRPr="00EE56FB">
        <w:rPr>
          <w:bCs/>
          <w:noProof/>
          <w:u w:val="single"/>
        </w:rPr>
        <w:t xml:space="preserve"> </w:t>
      </w:r>
      <w:r w:rsidRPr="00070123">
        <w:rPr>
          <w:noProof/>
          <w:u w:val="single"/>
        </w:rPr>
        <w:t>_______________</w:t>
      </w:r>
    </w:p>
    <w:p w:rsidR="00070123" w:rsidRDefault="00070123" w:rsidP="00070123">
      <w:pPr>
        <w:tabs>
          <w:tab w:val="right" w:pos="8222"/>
        </w:tabs>
        <w:rPr>
          <w:sz w:val="20"/>
          <w:szCs w:val="20"/>
        </w:rPr>
      </w:pPr>
      <w:r w:rsidRPr="00DA6116">
        <w:rPr>
          <w:sz w:val="20"/>
          <w:szCs w:val="20"/>
        </w:rPr>
        <w:t>(п</w:t>
      </w:r>
      <w:r w:rsidRPr="000D09A4">
        <w:rPr>
          <w:sz w:val="20"/>
          <w:szCs w:val="20"/>
        </w:rPr>
        <w:t xml:space="preserve">одпись)                   (фамилия, инициалы)                                           (подпись)            (фамилия, инициалы) </w:t>
      </w:r>
    </w:p>
    <w:p w:rsidR="00CF3EF5" w:rsidRDefault="00070123" w:rsidP="00070123">
      <w:pPr>
        <w:tabs>
          <w:tab w:val="left" w:pos="7920"/>
        </w:tabs>
      </w:pPr>
      <w:r>
        <w:t>М.П.</w:t>
      </w:r>
      <w:r>
        <w:tab/>
      </w:r>
    </w:p>
    <w:sectPr w:rsidR="00CF3EF5" w:rsidSect="00C7642C">
      <w:footerReference w:type="even" r:id="rId8"/>
      <w:footerReference w:type="default" r:id="rId9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76" w:rsidRDefault="00773076">
      <w:r>
        <w:separator/>
      </w:r>
    </w:p>
  </w:endnote>
  <w:endnote w:type="continuationSeparator" w:id="0">
    <w:p w:rsidR="00773076" w:rsidRDefault="00773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ED" w:rsidRDefault="006C28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01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0123">
      <w:rPr>
        <w:rStyle w:val="a6"/>
        <w:noProof/>
      </w:rPr>
      <w:t>1</w:t>
    </w:r>
    <w:r>
      <w:rPr>
        <w:rStyle w:val="a6"/>
      </w:rPr>
      <w:fldChar w:fldCharType="end"/>
    </w:r>
  </w:p>
  <w:p w:rsidR="00E157ED" w:rsidRDefault="0077307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7ED" w:rsidRDefault="006C28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01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642C">
      <w:rPr>
        <w:rStyle w:val="a6"/>
        <w:noProof/>
      </w:rPr>
      <w:t>1</w:t>
    </w:r>
    <w:r>
      <w:rPr>
        <w:rStyle w:val="a6"/>
      </w:rPr>
      <w:fldChar w:fldCharType="end"/>
    </w:r>
  </w:p>
  <w:p w:rsidR="00E157ED" w:rsidRDefault="0077307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76" w:rsidRDefault="00773076">
      <w:r>
        <w:separator/>
      </w:r>
    </w:p>
  </w:footnote>
  <w:footnote w:type="continuationSeparator" w:id="0">
    <w:p w:rsidR="00773076" w:rsidRDefault="00773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E80"/>
    <w:multiLevelType w:val="hybridMultilevel"/>
    <w:tmpl w:val="BC940F3E"/>
    <w:lvl w:ilvl="0" w:tplc="371A2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444"/>
    <w:rsid w:val="000446FE"/>
    <w:rsid w:val="000667B1"/>
    <w:rsid w:val="00070123"/>
    <w:rsid w:val="0008324D"/>
    <w:rsid w:val="000B151C"/>
    <w:rsid w:val="00185ECA"/>
    <w:rsid w:val="00196BE3"/>
    <w:rsid w:val="001B3AA6"/>
    <w:rsid w:val="00253C9F"/>
    <w:rsid w:val="00276B52"/>
    <w:rsid w:val="002E4203"/>
    <w:rsid w:val="002F1443"/>
    <w:rsid w:val="003D31C1"/>
    <w:rsid w:val="004123D7"/>
    <w:rsid w:val="00427444"/>
    <w:rsid w:val="00430E90"/>
    <w:rsid w:val="0043495C"/>
    <w:rsid w:val="0049313E"/>
    <w:rsid w:val="0055004F"/>
    <w:rsid w:val="005D1691"/>
    <w:rsid w:val="00636D28"/>
    <w:rsid w:val="0067649D"/>
    <w:rsid w:val="00687B48"/>
    <w:rsid w:val="00695861"/>
    <w:rsid w:val="006C2819"/>
    <w:rsid w:val="006C79C9"/>
    <w:rsid w:val="006F203D"/>
    <w:rsid w:val="00745307"/>
    <w:rsid w:val="00772340"/>
    <w:rsid w:val="00773076"/>
    <w:rsid w:val="008010C8"/>
    <w:rsid w:val="00857B2F"/>
    <w:rsid w:val="00883389"/>
    <w:rsid w:val="008A18CC"/>
    <w:rsid w:val="008A5661"/>
    <w:rsid w:val="008D0BBD"/>
    <w:rsid w:val="0091182F"/>
    <w:rsid w:val="00923CE9"/>
    <w:rsid w:val="009248D1"/>
    <w:rsid w:val="0097383F"/>
    <w:rsid w:val="0099573B"/>
    <w:rsid w:val="009B351A"/>
    <w:rsid w:val="00A0034D"/>
    <w:rsid w:val="00A1490F"/>
    <w:rsid w:val="00A1516E"/>
    <w:rsid w:val="00A26946"/>
    <w:rsid w:val="00A43E1A"/>
    <w:rsid w:val="00A817FE"/>
    <w:rsid w:val="00B372ED"/>
    <w:rsid w:val="00B9196F"/>
    <w:rsid w:val="00BA64A3"/>
    <w:rsid w:val="00C70939"/>
    <w:rsid w:val="00C7642C"/>
    <w:rsid w:val="00C95996"/>
    <w:rsid w:val="00CA5F4D"/>
    <w:rsid w:val="00CD7510"/>
    <w:rsid w:val="00CF3EF5"/>
    <w:rsid w:val="00D21947"/>
    <w:rsid w:val="00D5299D"/>
    <w:rsid w:val="00DB7073"/>
    <w:rsid w:val="00E011D2"/>
    <w:rsid w:val="00E21856"/>
    <w:rsid w:val="00E95481"/>
    <w:rsid w:val="00EA2824"/>
    <w:rsid w:val="00EF48BB"/>
    <w:rsid w:val="00F74E00"/>
    <w:rsid w:val="00FB16F2"/>
    <w:rsid w:val="00FE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70123"/>
    <w:pPr>
      <w:jc w:val="center"/>
      <w:outlineLvl w:val="0"/>
    </w:pPr>
    <w:rPr>
      <w:rFonts w:eastAsia="Calibri"/>
      <w:b/>
      <w:kern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151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10">
    <w:name w:val="Заголовок 1 Знак"/>
    <w:basedOn w:val="a0"/>
    <w:link w:val="1"/>
    <w:rsid w:val="00070123"/>
    <w:rPr>
      <w:rFonts w:ascii="Times New Roman" w:eastAsia="Calibri" w:hAnsi="Times New Roman" w:cs="Times New Roman"/>
      <w:b/>
      <w:kern w:val="32"/>
      <w:sz w:val="24"/>
      <w:szCs w:val="24"/>
      <w:u w:val="single"/>
      <w:lang w:eastAsia="ru-RU"/>
    </w:rPr>
  </w:style>
  <w:style w:type="paragraph" w:styleId="a4">
    <w:name w:val="footer"/>
    <w:basedOn w:val="a"/>
    <w:link w:val="a5"/>
    <w:rsid w:val="0007012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rsid w:val="0007012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070123"/>
    <w:rPr>
      <w:rFonts w:cs="Times New Roman"/>
    </w:rPr>
  </w:style>
  <w:style w:type="character" w:styleId="a7">
    <w:name w:val="Hyperlink"/>
    <w:basedOn w:val="a0"/>
    <w:uiPriority w:val="99"/>
    <w:unhideWhenUsed/>
    <w:rsid w:val="00550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70123"/>
    <w:pPr>
      <w:jc w:val="center"/>
      <w:outlineLvl w:val="0"/>
    </w:pPr>
    <w:rPr>
      <w:rFonts w:eastAsia="Calibri"/>
      <w:b/>
      <w:kern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151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10">
    <w:name w:val="Заголовок 1 Знак"/>
    <w:basedOn w:val="a0"/>
    <w:link w:val="1"/>
    <w:rsid w:val="00070123"/>
    <w:rPr>
      <w:rFonts w:ascii="Times New Roman" w:eastAsia="Calibri" w:hAnsi="Times New Roman" w:cs="Times New Roman"/>
      <w:b/>
      <w:kern w:val="32"/>
      <w:sz w:val="24"/>
      <w:szCs w:val="24"/>
      <w:u w:val="single"/>
      <w:lang w:eastAsia="ru-RU"/>
    </w:rPr>
  </w:style>
  <w:style w:type="paragraph" w:styleId="a4">
    <w:name w:val="footer"/>
    <w:basedOn w:val="a"/>
    <w:link w:val="a5"/>
    <w:rsid w:val="0007012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rsid w:val="0007012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0701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e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Кадникова Е.Е.</dc:creator>
  <cp:lastModifiedBy>zavodskovasg</cp:lastModifiedBy>
  <cp:revision>6</cp:revision>
  <dcterms:created xsi:type="dcterms:W3CDTF">2014-04-10T08:28:00Z</dcterms:created>
  <dcterms:modified xsi:type="dcterms:W3CDTF">2018-04-17T10:43:00Z</dcterms:modified>
</cp:coreProperties>
</file>