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140"/>
        <w:tblW w:w="9581" w:type="dxa"/>
        <w:tblLayout w:type="fixed"/>
        <w:tblLook w:val="04A0" w:firstRow="1" w:lastRow="0" w:firstColumn="1" w:lastColumn="0" w:noHBand="0" w:noVBand="1"/>
      </w:tblPr>
      <w:tblGrid>
        <w:gridCol w:w="9581"/>
      </w:tblGrid>
      <w:tr w:rsidR="00BF3BB7" w:rsidRPr="00BF3BB7" w:rsidTr="00876D2A">
        <w:trPr>
          <w:trHeight w:val="1125"/>
        </w:trPr>
        <w:tc>
          <w:tcPr>
            <w:tcW w:w="3260" w:type="dxa"/>
            <w:vAlign w:val="center"/>
          </w:tcPr>
          <w:p w:rsidR="00BF3BB7" w:rsidRPr="00BF3BB7" w:rsidRDefault="00BF3BB7" w:rsidP="00BF3BB7">
            <w:pPr>
              <w:spacing w:after="0" w:line="240" w:lineRule="auto"/>
              <w:rPr>
                <w:rFonts w:ascii="Arial" w:eastAsia="Calibri" w:hAnsi="Arial" w:cs="Arial"/>
                <w:noProof/>
                <w:sz w:val="14"/>
                <w:szCs w:val="14"/>
                <w:lang w:eastAsia="ru-RU"/>
              </w:rPr>
            </w:pPr>
          </w:p>
          <w:p w:rsidR="00BF3BB7" w:rsidRDefault="00BF3BB7" w:rsidP="00BF3BB7">
            <w:pPr>
              <w:spacing w:after="0" w:line="240" w:lineRule="auto"/>
              <w:rPr>
                <w:rFonts w:ascii="Arial" w:eastAsia="Calibri" w:hAnsi="Arial" w:cs="Arial"/>
                <w:noProof/>
                <w:sz w:val="14"/>
                <w:szCs w:val="14"/>
                <w:lang w:eastAsia="ru-RU"/>
              </w:rPr>
            </w:pPr>
          </w:p>
          <w:p w:rsidR="00BF3BB7" w:rsidRDefault="00BF3BB7" w:rsidP="00BF3BB7">
            <w:pPr>
              <w:spacing w:after="0" w:line="240" w:lineRule="auto"/>
              <w:rPr>
                <w:rFonts w:ascii="Arial" w:eastAsia="Calibri" w:hAnsi="Arial" w:cs="Arial"/>
                <w:noProof/>
                <w:sz w:val="14"/>
                <w:szCs w:val="14"/>
                <w:lang w:eastAsia="ru-RU"/>
              </w:rPr>
            </w:pPr>
          </w:p>
          <w:p w:rsidR="00BF3BB7" w:rsidRDefault="00BF3BB7" w:rsidP="00BF3BB7">
            <w:pPr>
              <w:spacing w:after="0" w:line="240" w:lineRule="auto"/>
              <w:rPr>
                <w:rFonts w:ascii="Arial" w:eastAsia="Calibri" w:hAnsi="Arial" w:cs="Arial"/>
                <w:noProof/>
                <w:sz w:val="14"/>
                <w:szCs w:val="14"/>
                <w:lang w:eastAsia="ru-RU"/>
              </w:rPr>
            </w:pPr>
          </w:p>
          <w:p w:rsidR="00BF3BB7" w:rsidRDefault="00BF3BB7" w:rsidP="00BF3BB7">
            <w:pPr>
              <w:spacing w:after="0" w:line="240" w:lineRule="auto"/>
              <w:rPr>
                <w:rFonts w:ascii="Arial" w:eastAsia="Calibri" w:hAnsi="Arial" w:cs="Arial"/>
                <w:noProof/>
                <w:sz w:val="14"/>
                <w:szCs w:val="14"/>
                <w:lang w:eastAsia="ru-RU"/>
              </w:rPr>
            </w:pPr>
          </w:p>
          <w:p w:rsidR="00BF3BB7" w:rsidRPr="00BF3BB7" w:rsidRDefault="00BF3BB7" w:rsidP="00BF3BB7">
            <w:pPr>
              <w:spacing w:after="0" w:line="240" w:lineRule="auto"/>
              <w:rPr>
                <w:rFonts w:ascii="Arial" w:eastAsia="Calibri" w:hAnsi="Arial" w:cs="Arial"/>
                <w:noProof/>
                <w:sz w:val="14"/>
                <w:szCs w:val="14"/>
                <w:lang w:eastAsia="ru-RU"/>
              </w:rPr>
            </w:pPr>
          </w:p>
          <w:p w:rsidR="00BF3BB7" w:rsidRPr="00BF3BB7" w:rsidRDefault="00BF3BB7" w:rsidP="00BF3BB7">
            <w:pPr>
              <w:spacing w:after="0" w:line="240" w:lineRule="auto"/>
              <w:rPr>
                <w:rFonts w:ascii="Arial" w:eastAsia="Calibri" w:hAnsi="Arial" w:cs="Arial"/>
                <w:noProof/>
                <w:sz w:val="14"/>
                <w:szCs w:val="14"/>
                <w:lang w:eastAsia="ru-RU"/>
              </w:rPr>
            </w:pPr>
            <w:r w:rsidRPr="00BF3BB7">
              <w:rPr>
                <w:rFonts w:ascii="Arial" w:eastAsia="Calibri" w:hAnsi="Arial" w:cs="Arial"/>
                <w:noProof/>
                <w:sz w:val="14"/>
                <w:szCs w:val="14"/>
                <w:lang w:eastAsia="ru-RU"/>
              </w:rPr>
              <w:drawing>
                <wp:inline distT="0" distB="0" distL="0" distR="0">
                  <wp:extent cx="1767205" cy="253365"/>
                  <wp:effectExtent l="0" t="0" r="4445" b="0"/>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typeSolid"/>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7205" cy="253365"/>
                          </a:xfrm>
                          <a:prstGeom prst="rect">
                            <a:avLst/>
                          </a:prstGeom>
                          <a:noFill/>
                          <a:ln>
                            <a:noFill/>
                          </a:ln>
                        </pic:spPr>
                      </pic:pic>
                    </a:graphicData>
                  </a:graphic>
                </wp:inline>
              </w:drawing>
            </w:r>
          </w:p>
          <w:p w:rsidR="00BF3BB7" w:rsidRPr="00BF3BB7" w:rsidRDefault="00BF3BB7" w:rsidP="00BF3BB7">
            <w:pPr>
              <w:spacing w:after="0" w:line="240" w:lineRule="auto"/>
              <w:rPr>
                <w:rFonts w:ascii="Arial" w:eastAsia="Calibri" w:hAnsi="Arial" w:cs="Arial"/>
                <w:noProof/>
                <w:sz w:val="14"/>
                <w:szCs w:val="14"/>
                <w:lang w:eastAsia="ru-RU"/>
              </w:rPr>
            </w:pPr>
          </w:p>
        </w:tc>
      </w:tr>
    </w:tbl>
    <w:p w:rsidR="00BF3BB7" w:rsidRDefault="00BF3BB7" w:rsidP="00BF3BB7">
      <w:pPr>
        <w:keepNext/>
        <w:spacing w:after="120" w:line="240" w:lineRule="auto"/>
        <w:outlineLvl w:val="0"/>
        <w:rPr>
          <w:rFonts w:ascii="Times New Roman" w:eastAsia="Times New Roman" w:hAnsi="Times New Roman" w:cs="Times New Roman"/>
          <w:b/>
          <w:bCs/>
          <w:lang w:eastAsia="ru-RU"/>
        </w:rPr>
      </w:pPr>
    </w:p>
    <w:p w:rsidR="00BF3BB7" w:rsidRPr="00BF3BB7" w:rsidRDefault="00BF3BB7" w:rsidP="00BF3BB7">
      <w:pPr>
        <w:keepNext/>
        <w:spacing w:after="120" w:line="240" w:lineRule="auto"/>
        <w:jc w:val="center"/>
        <w:outlineLvl w:val="0"/>
        <w:rPr>
          <w:rFonts w:ascii="Times New Roman" w:eastAsia="Times New Roman" w:hAnsi="Times New Roman" w:cs="Times New Roman"/>
          <w:b/>
          <w:bCs/>
          <w:lang w:eastAsia="ru-RU"/>
        </w:rPr>
      </w:pPr>
      <w:r w:rsidRPr="00BF3BB7">
        <w:rPr>
          <w:rFonts w:ascii="Times New Roman" w:eastAsia="Times New Roman" w:hAnsi="Times New Roman" w:cs="Times New Roman"/>
          <w:b/>
          <w:bCs/>
          <w:lang w:eastAsia="ru-RU"/>
        </w:rPr>
        <w:t xml:space="preserve">Критерии отнесения клиентов </w:t>
      </w:r>
      <w:r>
        <w:rPr>
          <w:rFonts w:ascii="Times New Roman" w:eastAsia="Times New Roman" w:hAnsi="Times New Roman" w:cs="Times New Roman"/>
          <w:b/>
          <w:bCs/>
          <w:lang w:eastAsia="ru-RU"/>
        </w:rPr>
        <w:t>АО КБ «Солидарность» (далее – «Банк»)</w:t>
      </w:r>
      <w:r w:rsidRPr="00BF3BB7">
        <w:rPr>
          <w:rFonts w:ascii="Times New Roman" w:eastAsia="Times New Roman" w:hAnsi="Times New Roman" w:cs="Times New Roman"/>
          <w:b/>
          <w:bCs/>
          <w:lang w:eastAsia="ru-RU"/>
        </w:rPr>
        <w:t xml:space="preserve"> к категории иностранных налогоплательщиков</w:t>
      </w:r>
    </w:p>
    <w:p w:rsidR="00BF3BB7" w:rsidRPr="00BF3BB7" w:rsidRDefault="00BF3BB7" w:rsidP="00BF3BB7">
      <w:pPr>
        <w:spacing w:after="0" w:line="240" w:lineRule="auto"/>
        <w:rPr>
          <w:rFonts w:ascii="Times New Roman" w:eastAsia="Times New Roman" w:hAnsi="Times New Roman" w:cs="Times New Roman"/>
          <w:b/>
          <w:lang w:eastAsia="ru-RU"/>
        </w:rPr>
      </w:pPr>
    </w:p>
    <w:p w:rsidR="00BF3BB7" w:rsidRPr="00BF3BB7" w:rsidRDefault="00BF3BB7" w:rsidP="00BF3BB7">
      <w:pPr>
        <w:pStyle w:val="a6"/>
        <w:numPr>
          <w:ilvl w:val="0"/>
          <w:numId w:val="12"/>
        </w:num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Критерии отнесения к</w:t>
      </w:r>
      <w:r w:rsidRPr="00BF3BB7">
        <w:rPr>
          <w:rFonts w:ascii="Times New Roman" w:eastAsia="Times New Roman" w:hAnsi="Times New Roman" w:cs="Times New Roman"/>
          <w:b/>
          <w:color w:val="000000"/>
          <w:lang w:eastAsia="ru-RU"/>
        </w:rPr>
        <w:t>лиентов–физических лиц/индивидуальных предпринимателей, лиц, занимающихся в установленном законодательством Российской Федерации порядке частной практикой</w:t>
      </w:r>
      <w:r w:rsidR="0076031F">
        <w:rPr>
          <w:rFonts w:ascii="Times New Roman" w:eastAsia="Times New Roman" w:hAnsi="Times New Roman" w:cs="Times New Roman"/>
          <w:b/>
          <w:color w:val="000000"/>
          <w:lang w:eastAsia="ru-RU"/>
        </w:rPr>
        <w:t>,</w:t>
      </w:r>
      <w:r w:rsidRPr="00BF3BB7">
        <w:rPr>
          <w:rFonts w:ascii="Times New Roman" w:eastAsia="Times New Roman" w:hAnsi="Times New Roman" w:cs="Times New Roman"/>
          <w:b/>
          <w:color w:val="000000"/>
          <w:lang w:eastAsia="ru-RU"/>
        </w:rPr>
        <w:t xml:space="preserve"> </w:t>
      </w:r>
      <w:r w:rsidRPr="00BF3BB7">
        <w:rPr>
          <w:rFonts w:ascii="Times New Roman" w:eastAsia="Times New Roman" w:hAnsi="Times New Roman" w:cs="Times New Roman"/>
          <w:color w:val="000000"/>
          <w:lang w:eastAsia="ru-RU"/>
        </w:rPr>
        <w:t>к категории клиентов-иностранных налогоплательщиков для целей выявления налогоплательщиков США:</w:t>
      </w:r>
    </w:p>
    <w:p w:rsidR="00BF3BB7" w:rsidRPr="00BF3BB7" w:rsidRDefault="00BF3BB7" w:rsidP="00BF3BB7">
      <w:pPr>
        <w:numPr>
          <w:ilvl w:val="0"/>
          <w:numId w:val="3"/>
        </w:numPr>
        <w:spacing w:after="0" w:line="240" w:lineRule="auto"/>
        <w:ind w:left="720"/>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гражданство США (наличие паспорта гражданина США);</w:t>
      </w:r>
    </w:p>
    <w:p w:rsidR="00BF3BB7" w:rsidRPr="00BF3BB7" w:rsidRDefault="00BF3BB7" w:rsidP="00BF3BB7">
      <w:pPr>
        <w:numPr>
          <w:ilvl w:val="0"/>
          <w:numId w:val="3"/>
        </w:numPr>
        <w:spacing w:after="0" w:line="240" w:lineRule="auto"/>
        <w:ind w:left="720"/>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вид на жительство в США (наличие «</w:t>
      </w:r>
      <w:r w:rsidRPr="00BF3BB7">
        <w:rPr>
          <w:rFonts w:ascii="Times New Roman" w:eastAsia="Times New Roman" w:hAnsi="Times New Roman" w:cs="Times New Roman"/>
          <w:color w:val="000000"/>
          <w:lang w:val="en-US" w:eastAsia="ru-RU"/>
        </w:rPr>
        <w:t>Green</w:t>
      </w:r>
      <w:r w:rsidRPr="00BF3BB7">
        <w:rPr>
          <w:rFonts w:ascii="Times New Roman" w:eastAsia="Times New Roman" w:hAnsi="Times New Roman" w:cs="Times New Roman"/>
          <w:color w:val="000000"/>
          <w:lang w:eastAsia="ru-RU"/>
        </w:rPr>
        <w:t xml:space="preserve"> </w:t>
      </w:r>
      <w:r w:rsidRPr="00BF3BB7">
        <w:rPr>
          <w:rFonts w:ascii="Times New Roman" w:eastAsia="Times New Roman" w:hAnsi="Times New Roman" w:cs="Times New Roman"/>
          <w:color w:val="000000"/>
          <w:lang w:val="en-US" w:eastAsia="ru-RU"/>
        </w:rPr>
        <w:t>Card</w:t>
      </w:r>
      <w:r w:rsidRPr="00BF3BB7">
        <w:rPr>
          <w:rFonts w:ascii="Times New Roman" w:eastAsia="Times New Roman" w:hAnsi="Times New Roman" w:cs="Times New Roman"/>
          <w:color w:val="000000"/>
          <w:lang w:eastAsia="ru-RU"/>
        </w:rPr>
        <w:t>»);</w:t>
      </w:r>
    </w:p>
    <w:p w:rsidR="00BF3BB7" w:rsidRPr="00BF3BB7" w:rsidRDefault="00BF3BB7" w:rsidP="00BF3BB7">
      <w:pPr>
        <w:numPr>
          <w:ilvl w:val="0"/>
          <w:numId w:val="3"/>
        </w:numPr>
        <w:spacing w:after="0" w:line="240" w:lineRule="auto"/>
        <w:ind w:left="720"/>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соответствие критерию «долгосрочного пребывания в США»</w:t>
      </w:r>
      <w:r w:rsidRPr="00BF3BB7">
        <w:rPr>
          <w:rFonts w:ascii="Times New Roman" w:eastAsia="Times New Roman" w:hAnsi="Times New Roman" w:cs="Times New Roman"/>
          <w:color w:val="000000"/>
          <w:vertAlign w:val="superscript"/>
          <w:lang w:eastAsia="ru-RU"/>
        </w:rPr>
        <w:footnoteReference w:id="1"/>
      </w:r>
      <w:r w:rsidRPr="00BF3BB7">
        <w:rPr>
          <w:rFonts w:ascii="Times New Roman" w:eastAsia="Times New Roman" w:hAnsi="Times New Roman" w:cs="Times New Roman"/>
          <w:color w:val="000000"/>
          <w:lang w:eastAsia="ru-RU"/>
        </w:rPr>
        <w:t>, т.е. клиент находился на территории данного государства не менее срока, установленного законодательством США для признания его налогоплательщиком США.</w:t>
      </w:r>
    </w:p>
    <w:p w:rsidR="00BF3BB7" w:rsidRPr="00BF3BB7" w:rsidRDefault="00BF3BB7" w:rsidP="00BF3BB7">
      <w:pPr>
        <w:spacing w:after="120" w:line="240" w:lineRule="auto"/>
        <w:jc w:val="both"/>
        <w:rPr>
          <w:rFonts w:ascii="Times New Roman" w:eastAsia="Times New Roman" w:hAnsi="Times New Roman" w:cs="Times New Roman"/>
          <w:color w:val="000000"/>
          <w:lang w:eastAsia="ru-RU"/>
        </w:rPr>
      </w:pPr>
    </w:p>
    <w:p w:rsidR="00BF3BB7" w:rsidRPr="00BF3BB7" w:rsidRDefault="00BF3BB7" w:rsidP="00BF3BB7">
      <w:p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Налогоплательщиками США не признаются учителя, студенты и стажеры, временно присутствовавшие на территории США на основании виз типа «</w:t>
      </w:r>
      <w:r w:rsidRPr="00BF3BB7">
        <w:rPr>
          <w:rFonts w:ascii="Times New Roman" w:eastAsia="Times New Roman" w:hAnsi="Times New Roman" w:cs="Times New Roman"/>
          <w:color w:val="000000"/>
          <w:lang w:val="en-US" w:eastAsia="ru-RU"/>
        </w:rPr>
        <w:t>F</w:t>
      </w:r>
      <w:r w:rsidRPr="00BF3BB7">
        <w:rPr>
          <w:rFonts w:ascii="Times New Roman" w:eastAsia="Times New Roman" w:hAnsi="Times New Roman" w:cs="Times New Roman"/>
          <w:color w:val="000000"/>
          <w:lang w:eastAsia="ru-RU"/>
        </w:rPr>
        <w:t>», «</w:t>
      </w:r>
      <w:r w:rsidRPr="00BF3BB7">
        <w:rPr>
          <w:rFonts w:ascii="Times New Roman" w:eastAsia="Times New Roman" w:hAnsi="Times New Roman" w:cs="Times New Roman"/>
          <w:color w:val="000000"/>
          <w:lang w:val="en-US" w:eastAsia="ru-RU"/>
        </w:rPr>
        <w:t>J</w:t>
      </w:r>
      <w:r w:rsidRPr="00BF3BB7">
        <w:rPr>
          <w:rFonts w:ascii="Times New Roman" w:eastAsia="Times New Roman" w:hAnsi="Times New Roman" w:cs="Times New Roman"/>
          <w:color w:val="000000"/>
          <w:lang w:eastAsia="ru-RU"/>
        </w:rPr>
        <w:t>», «М» или «</w:t>
      </w:r>
      <w:r w:rsidRPr="00BF3BB7">
        <w:rPr>
          <w:rFonts w:ascii="Times New Roman" w:eastAsia="Times New Roman" w:hAnsi="Times New Roman" w:cs="Times New Roman"/>
          <w:color w:val="000000"/>
          <w:lang w:val="en-US" w:eastAsia="ru-RU"/>
        </w:rPr>
        <w:t>Q</w:t>
      </w:r>
      <w:r w:rsidRPr="00BF3BB7">
        <w:rPr>
          <w:rFonts w:ascii="Times New Roman" w:eastAsia="Times New Roman" w:hAnsi="Times New Roman" w:cs="Times New Roman"/>
          <w:color w:val="000000"/>
          <w:lang w:eastAsia="ru-RU"/>
        </w:rPr>
        <w:t>».</w:t>
      </w:r>
    </w:p>
    <w:p w:rsidR="00BF3BB7" w:rsidRPr="00BF3BB7" w:rsidRDefault="00BF3BB7" w:rsidP="00BF3BB7">
      <w:p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Физическое лицо не может быть отнесено Банком к категории клиента–иностранного налогоплательщика в том случае, если физическое лицо (индивидуальный предприниматель)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(за исключением гражданства государства-члена Таможенного союза), вида на жительство в иностранном государстве (разрешения на постоянное пребывание в иностранном государстве) или не проживает постоянно (долгосрочно пребывает) в иностранном государстве.</w:t>
      </w:r>
    </w:p>
    <w:p w:rsidR="00BF3BB7" w:rsidRPr="00BF3BB7" w:rsidRDefault="00BF3BB7" w:rsidP="00BF3BB7">
      <w:pPr>
        <w:spacing w:after="0" w:line="240" w:lineRule="auto"/>
        <w:jc w:val="both"/>
        <w:rPr>
          <w:rFonts w:ascii="Times New Roman" w:eastAsia="Times New Roman" w:hAnsi="Times New Roman" w:cs="Times New Roman"/>
          <w:color w:val="000000"/>
          <w:lang w:eastAsia="ru-RU"/>
        </w:rPr>
      </w:pPr>
    </w:p>
    <w:p w:rsidR="00BF3BB7" w:rsidRPr="00BF3BB7" w:rsidRDefault="00BF3BB7" w:rsidP="00BF3BB7">
      <w:pPr>
        <w:pStyle w:val="a6"/>
        <w:numPr>
          <w:ilvl w:val="0"/>
          <w:numId w:val="12"/>
        </w:numPr>
        <w:spacing w:after="120" w:line="240" w:lineRule="auto"/>
        <w:jc w:val="both"/>
        <w:rPr>
          <w:rFonts w:ascii="Times New Roman" w:eastAsia="Times New Roman" w:hAnsi="Times New Roman" w:cs="Times New Roman"/>
          <w:lang w:eastAsia="ru-RU"/>
        </w:rPr>
      </w:pPr>
      <w:r w:rsidRPr="00BF3BB7">
        <w:rPr>
          <w:rFonts w:ascii="Times New Roman" w:eastAsia="Times New Roman" w:hAnsi="Times New Roman" w:cs="Times New Roman"/>
          <w:bCs/>
          <w:color w:val="000000"/>
          <w:lang w:eastAsia="ru-RU"/>
        </w:rPr>
        <w:t xml:space="preserve">Критерии отнесения </w:t>
      </w:r>
      <w:r w:rsidRPr="00BF3BB7">
        <w:rPr>
          <w:rFonts w:ascii="Times New Roman" w:eastAsia="Times New Roman" w:hAnsi="Times New Roman" w:cs="Times New Roman"/>
          <w:b/>
          <w:bCs/>
          <w:color w:val="000000"/>
          <w:lang w:eastAsia="ru-RU"/>
        </w:rPr>
        <w:t xml:space="preserve">клиентов-юридических лиц </w:t>
      </w:r>
      <w:r w:rsidRPr="00BF3BB7">
        <w:rPr>
          <w:rFonts w:ascii="Times New Roman" w:eastAsia="Times New Roman" w:hAnsi="Times New Roman" w:cs="Times New Roman"/>
          <w:bCs/>
          <w:color w:val="000000"/>
          <w:lang w:eastAsia="ru-RU"/>
        </w:rPr>
        <w:t xml:space="preserve">к категории иностранных налогоплательщиков для целей выявления налогоплательщиков США. </w:t>
      </w:r>
    </w:p>
    <w:p w:rsidR="00BF3BB7" w:rsidRPr="00BF3BB7" w:rsidRDefault="00BF3BB7" w:rsidP="00BF3BB7">
      <w:pPr>
        <w:pStyle w:val="a6"/>
        <w:numPr>
          <w:ilvl w:val="1"/>
          <w:numId w:val="13"/>
        </w:numPr>
        <w:spacing w:after="0" w:line="240" w:lineRule="auto"/>
        <w:jc w:val="both"/>
        <w:rPr>
          <w:rFonts w:ascii="Times New Roman" w:eastAsia="Times New Roman" w:hAnsi="Times New Roman" w:cs="Times New Roman"/>
          <w:lang w:eastAsia="ru-RU"/>
        </w:rPr>
      </w:pPr>
      <w:r w:rsidRPr="00BF3BB7">
        <w:rPr>
          <w:rFonts w:ascii="Times New Roman" w:eastAsia="Times New Roman" w:hAnsi="Times New Roman" w:cs="Times New Roman"/>
          <w:color w:val="000000"/>
          <w:lang w:eastAsia="ru-RU"/>
        </w:rPr>
        <w:t xml:space="preserve">Страна регистрации/учреждения или налогового </w:t>
      </w:r>
      <w:proofErr w:type="spellStart"/>
      <w:r w:rsidRPr="00BF3BB7">
        <w:rPr>
          <w:rFonts w:ascii="Times New Roman" w:eastAsia="Times New Roman" w:hAnsi="Times New Roman" w:cs="Times New Roman"/>
          <w:color w:val="000000"/>
          <w:lang w:eastAsia="ru-RU"/>
        </w:rPr>
        <w:t>резидентства</w:t>
      </w:r>
      <w:proofErr w:type="spellEnd"/>
      <w:r w:rsidRPr="00BF3BB7">
        <w:rPr>
          <w:rFonts w:ascii="Times New Roman" w:eastAsia="Times New Roman" w:hAnsi="Times New Roman" w:cs="Times New Roman"/>
          <w:color w:val="000000"/>
          <w:lang w:eastAsia="ru-RU"/>
        </w:rPr>
        <w:t xml:space="preserve"> – США и при этом клиент </w:t>
      </w:r>
      <w:r w:rsidRPr="00BF3BB7">
        <w:rPr>
          <w:rFonts w:ascii="Times New Roman" w:eastAsia="Times New Roman" w:hAnsi="Times New Roman" w:cs="Times New Roman"/>
          <w:i/>
          <w:color w:val="000000"/>
          <w:lang w:eastAsia="ru-RU"/>
        </w:rPr>
        <w:t>не относится</w:t>
      </w:r>
      <w:r w:rsidRPr="00BF3BB7">
        <w:rPr>
          <w:rFonts w:ascii="Times New Roman" w:eastAsia="Times New Roman" w:hAnsi="Times New Roman" w:cs="Times New Roman"/>
          <w:color w:val="000000"/>
          <w:lang w:eastAsia="ru-RU"/>
        </w:rPr>
        <w:t xml:space="preserve"> к лицам, исключенным из состава специально указанных налоговых резидентов США:</w:t>
      </w:r>
    </w:p>
    <w:p w:rsidR="00BF3BB7" w:rsidRPr="00BF3BB7" w:rsidRDefault="00BF3BB7" w:rsidP="00BF3BB7">
      <w:pPr>
        <w:numPr>
          <w:ilvl w:val="0"/>
          <w:numId w:val="9"/>
        </w:numPr>
        <w:spacing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Американская корпорация, акции, которых регулярно котируются на одной или более организованной бирже ценных бумаг;</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Американская компания или корпорация, которая входит в расширенную аффилированную группу компании и/или корпорации, указанной в предыдущем пункте;</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Американская организация, освобожденная от налогообложения согласно секции 501(а), а также пенсионные фонды, определение которых установлено секцией 7701(а</w:t>
      </w:r>
      <w:proofErr w:type="gramStart"/>
      <w:r w:rsidRPr="00BF3BB7">
        <w:rPr>
          <w:rFonts w:ascii="Times New Roman" w:eastAsia="Times New Roman" w:hAnsi="Times New Roman" w:cs="Times New Roman"/>
          <w:lang w:eastAsia="ru-RU"/>
        </w:rPr>
        <w:t>)(</w:t>
      </w:r>
      <w:proofErr w:type="gramEnd"/>
      <w:r w:rsidRPr="00BF3BB7">
        <w:rPr>
          <w:rFonts w:ascii="Times New Roman" w:eastAsia="Times New Roman" w:hAnsi="Times New Roman" w:cs="Times New Roman"/>
          <w:lang w:eastAsia="ru-RU"/>
        </w:rPr>
        <w:t>37) Налогового Кодекса США;</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Государственное учреждение или агентство США и его дочерние организации;</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 xml:space="preserve">Любой штат США, Округ Колумбия, подконтрольные США территории (Американское Самоа, Территория Гуам, Северные Марианские острова, </w:t>
      </w:r>
      <w:proofErr w:type="spellStart"/>
      <w:r w:rsidRPr="00BF3BB7">
        <w:rPr>
          <w:rFonts w:ascii="Times New Roman" w:eastAsia="Times New Roman" w:hAnsi="Times New Roman" w:cs="Times New Roman"/>
          <w:lang w:eastAsia="ru-RU"/>
        </w:rPr>
        <w:t>Пуэрто</w:t>
      </w:r>
      <w:proofErr w:type="spellEnd"/>
      <w:r w:rsidRPr="00BF3BB7">
        <w:rPr>
          <w:rFonts w:ascii="Times New Roman" w:eastAsia="Times New Roman" w:hAnsi="Times New Roman" w:cs="Times New Roman"/>
          <w:lang w:eastAsia="ru-RU"/>
        </w:rPr>
        <w:t xml:space="preserve"> </w:t>
      </w:r>
      <w:proofErr w:type="spellStart"/>
      <w:r w:rsidRPr="00BF3BB7">
        <w:rPr>
          <w:rFonts w:ascii="Times New Roman" w:eastAsia="Times New Roman" w:hAnsi="Times New Roman" w:cs="Times New Roman"/>
          <w:lang w:eastAsia="ru-RU"/>
        </w:rPr>
        <w:t>Рико</w:t>
      </w:r>
      <w:proofErr w:type="spellEnd"/>
      <w:r w:rsidRPr="00BF3BB7">
        <w:rPr>
          <w:rFonts w:ascii="Times New Roman" w:eastAsia="Times New Roman" w:hAnsi="Times New Roman" w:cs="Times New Roman"/>
          <w:lang w:eastAsia="ru-RU"/>
        </w:rPr>
        <w:t xml:space="preserve">, Виргинские острова Соединенных штатов Америки), их любое политическое отделение или любое </w:t>
      </w:r>
      <w:proofErr w:type="gramStart"/>
      <w:r w:rsidRPr="00BF3BB7">
        <w:rPr>
          <w:rFonts w:ascii="Times New Roman" w:eastAsia="Times New Roman" w:hAnsi="Times New Roman" w:cs="Times New Roman"/>
          <w:lang w:eastAsia="ru-RU"/>
        </w:rPr>
        <w:t>агентство</w:t>
      </w:r>
      <w:proofErr w:type="gramEnd"/>
      <w:r w:rsidRPr="00BF3BB7">
        <w:rPr>
          <w:rFonts w:ascii="Times New Roman" w:eastAsia="Times New Roman" w:hAnsi="Times New Roman" w:cs="Times New Roman"/>
          <w:lang w:eastAsia="ru-RU"/>
        </w:rPr>
        <w:t xml:space="preserve"> или другое образование, которое ими создано или полностью им принадлежит;</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lastRenderedPageBreak/>
        <w:t>Американский банк в соответствии с определением секции 581 Налогового Кодекса США (банковские и трастовые организации, существенную часть бизнеса которых составляет прием депозитов, выдача кредитов или предоставление фидуциарных услуг и которые имеют соответствующую лицензию);</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Американский инвестиционный фонд недвижимости, определенный в соответствии с секцией 856 Налогового Кодекса США;</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Американская регулируемая инвестиционная компания, соответствующая определению секции 851 Налогового Кодекса США или любая компания, зарегистрированная в Комиссии по ценным бумагам и биржам США;</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Американский инвестиционный фонд (</w:t>
      </w:r>
      <w:proofErr w:type="spellStart"/>
      <w:r w:rsidRPr="00BF3BB7">
        <w:rPr>
          <w:rFonts w:ascii="Times New Roman" w:eastAsia="Times New Roman" w:hAnsi="Times New Roman" w:cs="Times New Roman"/>
          <w:lang w:eastAsia="ru-RU"/>
        </w:rPr>
        <w:t>common</w:t>
      </w:r>
      <w:proofErr w:type="spellEnd"/>
      <w:r w:rsidRPr="00BF3BB7">
        <w:rPr>
          <w:rFonts w:ascii="Times New Roman" w:eastAsia="Times New Roman" w:hAnsi="Times New Roman" w:cs="Times New Roman"/>
          <w:lang w:eastAsia="ru-RU"/>
        </w:rPr>
        <w:t xml:space="preserve"> </w:t>
      </w:r>
      <w:proofErr w:type="spellStart"/>
      <w:r w:rsidRPr="00BF3BB7">
        <w:rPr>
          <w:rFonts w:ascii="Times New Roman" w:eastAsia="Times New Roman" w:hAnsi="Times New Roman" w:cs="Times New Roman"/>
          <w:lang w:eastAsia="ru-RU"/>
        </w:rPr>
        <w:t>trust</w:t>
      </w:r>
      <w:proofErr w:type="spellEnd"/>
      <w:r w:rsidRPr="00BF3BB7">
        <w:rPr>
          <w:rFonts w:ascii="Times New Roman" w:eastAsia="Times New Roman" w:hAnsi="Times New Roman" w:cs="Times New Roman"/>
          <w:lang w:eastAsia="ru-RU"/>
        </w:rPr>
        <w:t xml:space="preserve"> </w:t>
      </w:r>
      <w:proofErr w:type="spellStart"/>
      <w:r w:rsidRPr="00BF3BB7">
        <w:rPr>
          <w:rFonts w:ascii="Times New Roman" w:eastAsia="Times New Roman" w:hAnsi="Times New Roman" w:cs="Times New Roman"/>
          <w:lang w:eastAsia="ru-RU"/>
        </w:rPr>
        <w:t>fund</w:t>
      </w:r>
      <w:proofErr w:type="spellEnd"/>
      <w:r w:rsidRPr="00BF3BB7">
        <w:rPr>
          <w:rFonts w:ascii="Times New Roman" w:eastAsia="Times New Roman" w:hAnsi="Times New Roman" w:cs="Times New Roman"/>
          <w:lang w:eastAsia="ru-RU"/>
        </w:rPr>
        <w:t>) в соответствии с определением, содержащимся в секции 584 Налогового Кодекса США;</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Американский траст, освобожденный от налогообложения согласно секции 664(с) (положение данной секции касаются трастов, созданных для благотворительных целей) Налогового Кодекса США;</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 xml:space="preserve">Американский дилер ценными бумагами, товарами биржевой торговли или </w:t>
      </w:r>
      <w:proofErr w:type="spellStart"/>
      <w:r w:rsidRPr="00BF3BB7">
        <w:rPr>
          <w:rFonts w:ascii="Times New Roman" w:eastAsia="Times New Roman" w:hAnsi="Times New Roman" w:cs="Times New Roman"/>
          <w:lang w:eastAsia="ru-RU"/>
        </w:rPr>
        <w:t>деривативами</w:t>
      </w:r>
      <w:proofErr w:type="spellEnd"/>
      <w:r w:rsidRPr="00BF3BB7">
        <w:rPr>
          <w:rFonts w:ascii="Times New Roman" w:eastAsia="Times New Roman" w:hAnsi="Times New Roman" w:cs="Times New Roman"/>
          <w:lang w:eastAsia="ru-RU"/>
        </w:rPr>
        <w:t xml:space="preserve"> (включая такие инструменты как фьючерсы, форварды, опционы), который зарегистрирован в качестве дилера в соответствии с требованиями законодательства США;</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Американский брокер, имеющий соответствующую лицензию в соответствии с требованиями законодательства США;</w:t>
      </w:r>
    </w:p>
    <w:p w:rsidR="00BF3BB7" w:rsidRPr="00BF3BB7" w:rsidRDefault="00BF3BB7" w:rsidP="00BF3BB7">
      <w:pPr>
        <w:numPr>
          <w:ilvl w:val="0"/>
          <w:numId w:val="9"/>
        </w:numPr>
        <w:spacing w:before="100" w:beforeAutospacing="1" w:after="0" w:line="240" w:lineRule="auto"/>
        <w:ind w:left="1066" w:hanging="357"/>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Американский траст, освобожденный от налогообложения согласно секции 403(b) (трасты, созданные для сотрудников организации, удовлетворяющие определенным критериям) и секции 457(g) (трасты, созданные для выплаты компенсаций сотрудникам государственных организаций США) Налогового Кодекса США.</w:t>
      </w:r>
    </w:p>
    <w:p w:rsidR="00BF3BB7" w:rsidRPr="00BF3BB7" w:rsidRDefault="00BF3BB7" w:rsidP="00BF3BB7">
      <w:pPr>
        <w:spacing w:after="120" w:line="240" w:lineRule="auto"/>
        <w:ind w:left="948"/>
        <w:rPr>
          <w:rFonts w:ascii="Times New Roman" w:eastAsia="Times New Roman" w:hAnsi="Times New Roman" w:cs="Times New Roman"/>
          <w:lang w:eastAsia="ru-RU"/>
        </w:rPr>
      </w:pPr>
    </w:p>
    <w:p w:rsidR="00BF3BB7" w:rsidRPr="00BF3BB7" w:rsidRDefault="00BF3BB7" w:rsidP="00BF3BB7">
      <w:pPr>
        <w:pStyle w:val="a6"/>
        <w:numPr>
          <w:ilvl w:val="1"/>
          <w:numId w:val="14"/>
        </w:numPr>
        <w:spacing w:after="120" w:line="240" w:lineRule="auto"/>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Страна регистрации/учреждения не США, и при этом клиент является пассивной нефинансовой организацией (</w:t>
      </w:r>
      <w:r w:rsidRPr="00BF3BB7">
        <w:rPr>
          <w:rFonts w:ascii="Times New Roman" w:eastAsia="Times New Roman" w:hAnsi="Times New Roman" w:cs="Times New Roman"/>
          <w:lang w:val="en-US" w:eastAsia="ru-RU"/>
        </w:rPr>
        <w:t>Passive</w:t>
      </w:r>
      <w:r w:rsidRPr="00BF3BB7">
        <w:rPr>
          <w:rFonts w:ascii="Times New Roman" w:eastAsia="Times New Roman" w:hAnsi="Times New Roman" w:cs="Times New Roman"/>
          <w:lang w:eastAsia="ru-RU"/>
        </w:rPr>
        <w:t xml:space="preserve"> </w:t>
      </w:r>
      <w:r w:rsidRPr="00BF3BB7">
        <w:rPr>
          <w:rFonts w:ascii="Times New Roman" w:eastAsia="Times New Roman" w:hAnsi="Times New Roman" w:cs="Times New Roman"/>
          <w:lang w:val="en-US" w:eastAsia="ru-RU"/>
        </w:rPr>
        <w:t>NFFE</w:t>
      </w:r>
      <w:r w:rsidRPr="00BF3BB7">
        <w:rPr>
          <w:rFonts w:ascii="Times New Roman" w:eastAsia="Times New Roman" w:hAnsi="Times New Roman" w:cs="Times New Roman"/>
          <w:lang w:eastAsia="ru-RU"/>
        </w:rPr>
        <w:t xml:space="preserve">) и имеет следующих существенных собственников (лиц прямо или косвенно, через третьих </w:t>
      </w:r>
      <w:proofErr w:type="gramStart"/>
      <w:r w:rsidRPr="00BF3BB7">
        <w:rPr>
          <w:rFonts w:ascii="Times New Roman" w:eastAsia="Times New Roman" w:hAnsi="Times New Roman" w:cs="Times New Roman"/>
          <w:lang w:eastAsia="ru-RU"/>
        </w:rPr>
        <w:t>лиц</w:t>
      </w:r>
      <w:proofErr w:type="gramEnd"/>
      <w:r w:rsidRPr="00BF3BB7">
        <w:rPr>
          <w:rFonts w:ascii="Times New Roman" w:eastAsia="Times New Roman" w:hAnsi="Times New Roman" w:cs="Times New Roman"/>
          <w:lang w:eastAsia="ru-RU"/>
        </w:rPr>
        <w:t xml:space="preserve"> владеющих более 10% уставного (складочного) капитала или уставного фонда, имущества организации):</w:t>
      </w:r>
    </w:p>
    <w:p w:rsidR="00BF3BB7" w:rsidRPr="00BF3BB7" w:rsidRDefault="00BF3BB7" w:rsidP="00BF3BB7">
      <w:pPr>
        <w:numPr>
          <w:ilvl w:val="0"/>
          <w:numId w:val="8"/>
        </w:num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lang w:eastAsia="ru-RU"/>
        </w:rPr>
        <w:t>физических лиц, которые</w:t>
      </w:r>
      <w:r w:rsidRPr="00BF3BB7">
        <w:rPr>
          <w:rFonts w:ascii="Times New Roman" w:eastAsia="Times New Roman" w:hAnsi="Times New Roman" w:cs="Times New Roman"/>
          <w:color w:val="000000"/>
          <w:lang w:eastAsia="ru-RU"/>
        </w:rPr>
        <w:t xml:space="preserve"> являются налоговыми резидентами США (в соответствии с п. 1);</w:t>
      </w:r>
    </w:p>
    <w:p w:rsidR="00BF3BB7" w:rsidRPr="00BF3BB7" w:rsidRDefault="00BF3BB7" w:rsidP="00BF3BB7">
      <w:pPr>
        <w:numPr>
          <w:ilvl w:val="0"/>
          <w:numId w:val="8"/>
        </w:num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 xml:space="preserve">юридических лиц, зарегистрированных/учрежденных на территории США и при этом не относящихся к лицам, исключенным для целей </w:t>
      </w:r>
      <w:r w:rsidRPr="00BF3BB7">
        <w:rPr>
          <w:rFonts w:ascii="Times New Roman" w:eastAsia="Times New Roman" w:hAnsi="Times New Roman" w:cs="Times New Roman"/>
          <w:color w:val="000000"/>
          <w:lang w:val="en-US" w:eastAsia="ru-RU"/>
        </w:rPr>
        <w:t>FATCA</w:t>
      </w:r>
      <w:r w:rsidRPr="00BF3BB7">
        <w:rPr>
          <w:rFonts w:ascii="Times New Roman" w:eastAsia="Times New Roman" w:hAnsi="Times New Roman" w:cs="Times New Roman"/>
          <w:color w:val="000000"/>
          <w:lang w:eastAsia="ru-RU"/>
        </w:rPr>
        <w:t>.</w:t>
      </w:r>
    </w:p>
    <w:p w:rsidR="00BF3BB7" w:rsidRPr="00BF3BB7" w:rsidRDefault="00BF3BB7" w:rsidP="00BF3BB7">
      <w:p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Юридическое лицо (за исключением организаций финансового рынка) не может быть отнесено к категории иностранных налогоплательщиков, если более 90 процентов акций (долей участия) в его уставном капитале прямо или косвенно контролируются Российской Федерацией и (или) гражданами Российской Федерации (в том числе имеющими одновременно с гражданством Российской Федерации гражданство государства-члена Таможенного союза), за исключением физических лиц, имеющих наряду с гражданством Российской Федерации гражданство иного государства (за исключением гражданства государства - члена Таможенного союза) или имеющих вид на жительство в иностранном государстве или проживающих постоянно (долгосрочно пребывающих) в иностранном государстве.</w:t>
      </w:r>
      <w:bookmarkStart w:id="0" w:name="_Toc505262496"/>
      <w:bookmarkStart w:id="1" w:name="_Toc505262632"/>
      <w:bookmarkStart w:id="2" w:name="_Toc505263697"/>
      <w:bookmarkStart w:id="3" w:name="_Toc505264212"/>
      <w:bookmarkStart w:id="4" w:name="_Toc505264537"/>
      <w:bookmarkStart w:id="5" w:name="_Toc505957499"/>
      <w:bookmarkStart w:id="6" w:name="_Toc505957677"/>
      <w:bookmarkStart w:id="7" w:name="_Toc506198030"/>
    </w:p>
    <w:p w:rsidR="00BF3BB7" w:rsidRPr="00BF3BB7" w:rsidRDefault="00BF3BB7" w:rsidP="00BF3BB7">
      <w:pPr>
        <w:pStyle w:val="a6"/>
        <w:numPr>
          <w:ilvl w:val="0"/>
          <w:numId w:val="14"/>
        </w:num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lang w:eastAsia="ru-RU"/>
        </w:rPr>
        <w:t>Банк анализирует сведения, предоставленные клиентом, не являющимся налогоплательщиком США, на предмет наличия у него дополнительных признаков связи с США:</w:t>
      </w:r>
    </w:p>
    <w:p w:rsidR="00BF3BB7" w:rsidRPr="00BF3BB7" w:rsidRDefault="00BF3BB7" w:rsidP="00BF3BB7">
      <w:pPr>
        <w:numPr>
          <w:ilvl w:val="0"/>
          <w:numId w:val="7"/>
        </w:numPr>
        <w:spacing w:after="0" w:line="240" w:lineRule="auto"/>
        <w:contextualSpacing/>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место рождения США,</w:t>
      </w:r>
      <w:r w:rsidRPr="00BF3BB7">
        <w:rPr>
          <w:rFonts w:ascii="Times New Roman" w:eastAsia="Times New Roman" w:hAnsi="Times New Roman" w:cs="Times New Roman"/>
          <w:i/>
        </w:rPr>
        <w:t xml:space="preserve"> </w:t>
      </w:r>
      <w:r w:rsidRPr="00BF3BB7">
        <w:rPr>
          <w:rFonts w:ascii="Times New Roman" w:eastAsia="Times New Roman" w:hAnsi="Times New Roman" w:cs="Times New Roman"/>
        </w:rPr>
        <w:t>Пуэрто-Рико, Виргинские острова Соединенных штатов Америки, Гуам</w:t>
      </w:r>
      <w:r w:rsidRPr="00BF3BB7">
        <w:rPr>
          <w:rFonts w:ascii="Times New Roman" w:eastAsia="Times New Roman" w:hAnsi="Times New Roman" w:cs="Times New Roman"/>
          <w:lang w:eastAsia="ru-RU"/>
        </w:rPr>
        <w:t xml:space="preserve"> </w:t>
      </w:r>
      <w:r w:rsidRPr="00BF3BB7">
        <w:rPr>
          <w:rFonts w:ascii="Times New Roman" w:eastAsia="Times New Roman" w:hAnsi="Times New Roman" w:cs="Times New Roman"/>
          <w:i/>
          <w:lang w:eastAsia="ru-RU"/>
        </w:rPr>
        <w:t>(относится только к физическим лицам/индивидуальным предпринимателям, лицам, занимающимся в установленном законодательством Российской федерации частной практикой</w:t>
      </w:r>
      <w:r w:rsidRPr="00BF3BB7">
        <w:rPr>
          <w:rFonts w:ascii="Times New Roman" w:eastAsia="Times New Roman" w:hAnsi="Times New Roman" w:cs="Times New Roman"/>
          <w:lang w:eastAsia="ru-RU"/>
        </w:rPr>
        <w:t xml:space="preserve">); </w:t>
      </w:r>
    </w:p>
    <w:p w:rsidR="00BF3BB7" w:rsidRPr="00BF3BB7" w:rsidRDefault="00BF3BB7" w:rsidP="00BF3BB7">
      <w:pPr>
        <w:numPr>
          <w:ilvl w:val="0"/>
          <w:numId w:val="7"/>
        </w:numPr>
        <w:spacing w:after="0" w:line="240" w:lineRule="auto"/>
        <w:contextualSpacing/>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любой телефонный номер США;</w:t>
      </w:r>
    </w:p>
    <w:p w:rsidR="00BF3BB7" w:rsidRPr="00BF3BB7" w:rsidRDefault="00BF3BB7" w:rsidP="00BF3BB7">
      <w:pPr>
        <w:numPr>
          <w:ilvl w:val="0"/>
          <w:numId w:val="7"/>
        </w:numPr>
        <w:spacing w:after="0" w:line="240" w:lineRule="auto"/>
        <w:contextualSpacing/>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адрес места жительства (регистрации) или фактический адрес проживания, или почтовый адрес в США;</w:t>
      </w:r>
    </w:p>
    <w:p w:rsidR="00BF3BB7" w:rsidRPr="00BF3BB7" w:rsidRDefault="00BF3BB7" w:rsidP="00BF3BB7">
      <w:pPr>
        <w:numPr>
          <w:ilvl w:val="0"/>
          <w:numId w:val="7"/>
        </w:numPr>
        <w:spacing w:after="0" w:line="240" w:lineRule="auto"/>
        <w:contextualSpacing/>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t xml:space="preserve">доверенность, предоставленная лицу, имеющему адрес места жительства (регистрации) или фактический адрес проживания, или почтовый адрес в США; </w:t>
      </w:r>
    </w:p>
    <w:p w:rsidR="00BF3BB7" w:rsidRPr="00BF3BB7" w:rsidRDefault="00BF3BB7" w:rsidP="00BF3BB7">
      <w:pPr>
        <w:numPr>
          <w:ilvl w:val="0"/>
          <w:numId w:val="7"/>
        </w:numPr>
        <w:spacing w:after="0" w:line="240" w:lineRule="auto"/>
        <w:contextualSpacing/>
        <w:jc w:val="both"/>
        <w:rPr>
          <w:rFonts w:ascii="Times New Roman" w:eastAsia="Times New Roman" w:hAnsi="Times New Roman" w:cs="Times New Roman"/>
          <w:lang w:eastAsia="ru-RU"/>
        </w:rPr>
      </w:pPr>
      <w:r w:rsidRPr="00BF3BB7">
        <w:rPr>
          <w:rFonts w:ascii="Times New Roman" w:eastAsia="Times New Roman" w:hAnsi="Times New Roman" w:cs="Times New Roman"/>
          <w:lang w:eastAsia="ru-RU"/>
        </w:rPr>
        <w:lastRenderedPageBreak/>
        <w:t>длительное поручение на перечисление более одного платежа в пользу получателей, имеющих счет в США.</w:t>
      </w:r>
    </w:p>
    <w:p w:rsidR="00BF3BB7" w:rsidRPr="00BF3BB7" w:rsidRDefault="00BF3BB7" w:rsidP="00BF3BB7">
      <w:pPr>
        <w:spacing w:after="0" w:line="240" w:lineRule="auto"/>
        <w:ind w:firstLine="357"/>
        <w:jc w:val="both"/>
        <w:rPr>
          <w:rFonts w:ascii="Times New Roman" w:eastAsia="Times New Roman" w:hAnsi="Times New Roman" w:cs="Times New Roman"/>
          <w:color w:val="000000"/>
          <w:lang w:eastAsia="ru-RU"/>
        </w:rPr>
      </w:pPr>
    </w:p>
    <w:p w:rsidR="00BF3BB7" w:rsidRPr="00BF3BB7" w:rsidRDefault="00BF3BB7" w:rsidP="00BF3BB7">
      <w:pPr>
        <w:spacing w:after="0" w:line="240" w:lineRule="auto"/>
        <w:ind w:firstLine="357"/>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При наличии хотя бы одного признака связи с США, в целях подтверждения статуса не налогоплательщика США, Банк запрашивает у клиента дополнительные документы к которым могут относится:</w:t>
      </w:r>
      <w:bookmarkStart w:id="8" w:name="_GoBack"/>
      <w:bookmarkEnd w:id="8"/>
    </w:p>
    <w:p w:rsidR="00BF3BB7" w:rsidRPr="00BF3BB7" w:rsidRDefault="00BF3BB7" w:rsidP="00BF3BB7">
      <w:pPr>
        <w:numPr>
          <w:ilvl w:val="0"/>
          <w:numId w:val="11"/>
        </w:numPr>
        <w:spacing w:after="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свидетельство об утрате гражданства США (форма DS4083 Бюро консульских дел Государственного Департамента США);</w:t>
      </w:r>
    </w:p>
    <w:p w:rsidR="00BF3BB7" w:rsidRPr="00BF3BB7" w:rsidRDefault="00BF3BB7" w:rsidP="00BF3BB7">
      <w:pPr>
        <w:numPr>
          <w:ilvl w:val="0"/>
          <w:numId w:val="11"/>
        </w:numPr>
        <w:spacing w:after="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письменные объяснения Клиента в отношении отсутствия гражданства США, с указанием причины, по которой не было получено гражданство США по рождению (в случае, если клиент родился в США);</w:t>
      </w:r>
    </w:p>
    <w:p w:rsidR="00BF3BB7" w:rsidRPr="00BF3BB7" w:rsidRDefault="00BF3BB7" w:rsidP="00BF3BB7">
      <w:pPr>
        <w:numPr>
          <w:ilvl w:val="0"/>
          <w:numId w:val="11"/>
        </w:numPr>
        <w:spacing w:after="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 xml:space="preserve">сертификат налогового резидента (справку о </w:t>
      </w:r>
      <w:proofErr w:type="spellStart"/>
      <w:r w:rsidRPr="00BF3BB7">
        <w:rPr>
          <w:rFonts w:ascii="Times New Roman" w:eastAsia="Times New Roman" w:hAnsi="Times New Roman" w:cs="Times New Roman"/>
          <w:color w:val="000000"/>
          <w:lang w:eastAsia="ru-RU"/>
        </w:rPr>
        <w:t>резиденстве</w:t>
      </w:r>
      <w:proofErr w:type="spellEnd"/>
      <w:r w:rsidRPr="00BF3BB7">
        <w:rPr>
          <w:rFonts w:ascii="Times New Roman" w:eastAsia="Times New Roman" w:hAnsi="Times New Roman" w:cs="Times New Roman"/>
          <w:color w:val="000000"/>
          <w:lang w:eastAsia="ru-RU"/>
        </w:rPr>
        <w:t>), выданную налоговым органом страны, налогоплательщиком которой является клиент;</w:t>
      </w:r>
    </w:p>
    <w:p w:rsidR="00BF3BB7" w:rsidRPr="00BF3BB7" w:rsidRDefault="00BF3BB7" w:rsidP="00BF3BB7">
      <w:pPr>
        <w:numPr>
          <w:ilvl w:val="0"/>
          <w:numId w:val="11"/>
        </w:numPr>
        <w:spacing w:after="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 xml:space="preserve">документы квалифицированного посредника (при наличии у клиента) </w:t>
      </w:r>
    </w:p>
    <w:p w:rsidR="00BF3BB7" w:rsidRPr="00BF3BB7" w:rsidRDefault="00BF3BB7" w:rsidP="00BF3BB7">
      <w:pPr>
        <w:numPr>
          <w:ilvl w:val="0"/>
          <w:numId w:val="11"/>
        </w:numPr>
        <w:spacing w:after="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 xml:space="preserve"> соответствующая форма W-8.  </w:t>
      </w:r>
    </w:p>
    <w:p w:rsidR="00BF3BB7" w:rsidRPr="00BF3BB7" w:rsidRDefault="00BF3BB7" w:rsidP="00BF3BB7">
      <w:pPr>
        <w:spacing w:after="0" w:line="240" w:lineRule="auto"/>
        <w:ind w:left="1077"/>
        <w:jc w:val="both"/>
        <w:rPr>
          <w:rFonts w:ascii="Times New Roman" w:eastAsia="Times New Roman" w:hAnsi="Times New Roman" w:cs="Times New Roman"/>
          <w:color w:val="000000"/>
          <w:lang w:eastAsia="ru-RU"/>
        </w:rPr>
      </w:pPr>
    </w:p>
    <w:p w:rsidR="00BF3BB7" w:rsidRPr="00BF3BB7" w:rsidRDefault="0076031F" w:rsidP="0076031F">
      <w:pPr>
        <w:keepNext/>
        <w:spacing w:after="120" w:line="240" w:lineRule="auto"/>
        <w:outlineLvl w:val="0"/>
        <w:rPr>
          <w:rFonts w:ascii="Times New Roman" w:eastAsia="Times New Roman" w:hAnsi="Times New Roman" w:cs="Times New Roman"/>
          <w:b/>
          <w:bCs/>
          <w:lang w:eastAsia="ru-RU"/>
        </w:rPr>
      </w:pPr>
      <w:bookmarkStart w:id="9" w:name="_Toc62208517"/>
      <w:bookmarkStart w:id="10" w:name="_Toc64716691"/>
      <w:bookmarkStart w:id="11" w:name="_Toc64717176"/>
      <w:bookmarkStart w:id="12" w:name="_Toc64717821"/>
      <w:bookmarkEnd w:id="0"/>
      <w:bookmarkEnd w:id="1"/>
      <w:bookmarkEnd w:id="2"/>
      <w:bookmarkEnd w:id="3"/>
      <w:bookmarkEnd w:id="4"/>
      <w:bookmarkEnd w:id="5"/>
      <w:bookmarkEnd w:id="6"/>
      <w:bookmarkEnd w:id="7"/>
      <w:r>
        <w:rPr>
          <w:rFonts w:ascii="Times New Roman" w:eastAsia="Times New Roman" w:hAnsi="Times New Roman" w:cs="Times New Roman"/>
          <w:b/>
          <w:bCs/>
          <w:lang w:eastAsia="ru-RU"/>
        </w:rPr>
        <w:t>4</w:t>
      </w:r>
      <w:r w:rsidR="00BF3BB7" w:rsidRPr="00BF3BB7">
        <w:rPr>
          <w:rFonts w:ascii="Times New Roman" w:eastAsia="Times New Roman" w:hAnsi="Times New Roman" w:cs="Times New Roman"/>
          <w:b/>
          <w:bCs/>
          <w:lang w:eastAsia="ru-RU"/>
        </w:rPr>
        <w:t>. Способы получения информации для целей отнесения клиентов Банка к категории иностранных налогоплательщиков</w:t>
      </w:r>
      <w:bookmarkEnd w:id="9"/>
      <w:bookmarkEnd w:id="10"/>
      <w:bookmarkEnd w:id="11"/>
      <w:bookmarkEnd w:id="12"/>
    </w:p>
    <w:p w:rsidR="00BF3BB7" w:rsidRPr="00BF3BB7" w:rsidRDefault="00BF3BB7" w:rsidP="00BF3BB7">
      <w:p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Банк может использовать любые доступные на законных основаниях способы получения информации для целей отнесения своего клиента к категории иностранных налогоплательщиков, в том числе, такие как:</w:t>
      </w:r>
    </w:p>
    <w:p w:rsidR="00BF3BB7" w:rsidRPr="00BF3BB7" w:rsidRDefault="00BF3BB7" w:rsidP="00BF3BB7">
      <w:pPr>
        <w:numPr>
          <w:ilvl w:val="0"/>
          <w:numId w:val="5"/>
        </w:num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сведения в целях выявления налогоплательщика США, включенные в стандартные заявления и анкеты клиентов, используемые для идентификации в рамках процедур ПОД/ФТ/ФРОМУ;</w:t>
      </w:r>
    </w:p>
    <w:p w:rsidR="00BF3BB7" w:rsidRPr="00BF3BB7" w:rsidRDefault="00BF3BB7" w:rsidP="00BF3BB7">
      <w:pPr>
        <w:numPr>
          <w:ilvl w:val="0"/>
          <w:numId w:val="5"/>
        </w:num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 xml:space="preserve">Формы </w:t>
      </w:r>
      <w:proofErr w:type="spellStart"/>
      <w:r w:rsidRPr="00BF3BB7">
        <w:rPr>
          <w:rFonts w:ascii="Times New Roman" w:eastAsia="Times New Roman" w:hAnsi="Times New Roman" w:cs="Times New Roman"/>
          <w:color w:val="000000"/>
          <w:lang w:eastAsia="ru-RU"/>
        </w:rPr>
        <w:t>самосертификации</w:t>
      </w:r>
      <w:proofErr w:type="spellEnd"/>
      <w:r w:rsidRPr="00BF3BB7">
        <w:rPr>
          <w:rFonts w:ascii="Times New Roman" w:eastAsia="Times New Roman" w:hAnsi="Times New Roman" w:cs="Times New Roman"/>
          <w:color w:val="000000"/>
          <w:lang w:eastAsia="ru-RU"/>
        </w:rPr>
        <w:t xml:space="preserve"> в целях подтверждения статуса налогового резидента, разработанные АО КБ «Солидарность»;</w:t>
      </w:r>
    </w:p>
    <w:p w:rsidR="00BF3BB7" w:rsidRPr="00BF3BB7" w:rsidRDefault="00BF3BB7" w:rsidP="00BF3BB7">
      <w:pPr>
        <w:numPr>
          <w:ilvl w:val="0"/>
          <w:numId w:val="5"/>
        </w:num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Формы НС США (</w:t>
      </w:r>
      <w:r w:rsidRPr="00BF3BB7">
        <w:rPr>
          <w:rFonts w:ascii="Times New Roman" w:eastAsia="Times New Roman" w:hAnsi="Times New Roman" w:cs="Times New Roman"/>
          <w:color w:val="000000"/>
          <w:lang w:val="en-US" w:eastAsia="ru-RU"/>
        </w:rPr>
        <w:t>W</w:t>
      </w:r>
      <w:r w:rsidRPr="00BF3BB7">
        <w:rPr>
          <w:rFonts w:ascii="Times New Roman" w:eastAsia="Times New Roman" w:hAnsi="Times New Roman" w:cs="Times New Roman"/>
          <w:color w:val="000000"/>
          <w:lang w:eastAsia="ru-RU"/>
        </w:rPr>
        <w:t>-8/</w:t>
      </w:r>
      <w:r w:rsidRPr="00BF3BB7">
        <w:rPr>
          <w:rFonts w:ascii="Times New Roman" w:eastAsia="Times New Roman" w:hAnsi="Times New Roman" w:cs="Times New Roman"/>
          <w:color w:val="000000"/>
          <w:lang w:val="en-US" w:eastAsia="ru-RU"/>
        </w:rPr>
        <w:t>W</w:t>
      </w:r>
      <w:r w:rsidRPr="00BF3BB7">
        <w:rPr>
          <w:rFonts w:ascii="Times New Roman" w:eastAsia="Times New Roman" w:hAnsi="Times New Roman" w:cs="Times New Roman"/>
          <w:color w:val="000000"/>
          <w:lang w:eastAsia="ru-RU"/>
        </w:rPr>
        <w:t>-9);</w:t>
      </w:r>
    </w:p>
    <w:p w:rsidR="00BF3BB7" w:rsidRPr="00BF3BB7" w:rsidRDefault="00BF3BB7" w:rsidP="00BF3BB7">
      <w:pPr>
        <w:numPr>
          <w:ilvl w:val="0"/>
          <w:numId w:val="5"/>
        </w:num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устные и письменные вопросы/запросы клиенту;</w:t>
      </w:r>
    </w:p>
    <w:p w:rsidR="00BF3BB7" w:rsidRPr="00BF3BB7" w:rsidRDefault="00BF3BB7" w:rsidP="00BF3BB7">
      <w:pPr>
        <w:numPr>
          <w:ilvl w:val="0"/>
          <w:numId w:val="5"/>
        </w:numPr>
        <w:spacing w:after="120" w:line="240" w:lineRule="auto"/>
        <w:jc w:val="both"/>
        <w:rPr>
          <w:rFonts w:ascii="Times New Roman" w:eastAsia="Times New Roman" w:hAnsi="Times New Roman" w:cs="Times New Roman"/>
          <w:color w:val="000000"/>
          <w:lang w:eastAsia="ru-RU"/>
        </w:rPr>
      </w:pPr>
      <w:r w:rsidRPr="00BF3BB7">
        <w:rPr>
          <w:rFonts w:ascii="Times New Roman" w:eastAsia="Times New Roman" w:hAnsi="Times New Roman" w:cs="Times New Roman"/>
          <w:color w:val="000000"/>
          <w:lang w:eastAsia="ru-RU"/>
        </w:rPr>
        <w:t>иные способы, разумные и достаточные в соответствующей ситуации.</w:t>
      </w:r>
    </w:p>
    <w:p w:rsidR="00E96EE7" w:rsidRDefault="00E96EE7"/>
    <w:sectPr w:rsidR="00E96E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BB7" w:rsidRDefault="00BF3BB7" w:rsidP="00BF3BB7">
      <w:pPr>
        <w:spacing w:after="0" w:line="240" w:lineRule="auto"/>
      </w:pPr>
      <w:r>
        <w:separator/>
      </w:r>
    </w:p>
  </w:endnote>
  <w:endnote w:type="continuationSeparator" w:id="0">
    <w:p w:rsidR="00BF3BB7" w:rsidRDefault="00BF3BB7" w:rsidP="00BF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BB7" w:rsidRDefault="00BF3BB7" w:rsidP="00BF3BB7">
      <w:pPr>
        <w:spacing w:after="0" w:line="240" w:lineRule="auto"/>
      </w:pPr>
      <w:r>
        <w:separator/>
      </w:r>
    </w:p>
  </w:footnote>
  <w:footnote w:type="continuationSeparator" w:id="0">
    <w:p w:rsidR="00BF3BB7" w:rsidRDefault="00BF3BB7" w:rsidP="00BF3BB7">
      <w:pPr>
        <w:spacing w:after="0" w:line="240" w:lineRule="auto"/>
      </w:pPr>
      <w:r>
        <w:continuationSeparator/>
      </w:r>
    </w:p>
  </w:footnote>
  <w:footnote w:id="1">
    <w:p w:rsidR="00BF3BB7" w:rsidRPr="002172FC" w:rsidRDefault="00BF3BB7" w:rsidP="00BF3BB7">
      <w:pPr>
        <w:spacing w:after="0"/>
        <w:jc w:val="both"/>
        <w:rPr>
          <w:sz w:val="18"/>
          <w:szCs w:val="18"/>
        </w:rPr>
      </w:pPr>
      <w:r>
        <w:rPr>
          <w:rStyle w:val="a5"/>
        </w:rPr>
        <w:footnoteRef/>
      </w:r>
      <w:r>
        <w:t xml:space="preserve"> </w:t>
      </w:r>
      <w:r w:rsidRPr="002172FC">
        <w:rPr>
          <w:sz w:val="18"/>
          <w:szCs w:val="18"/>
        </w:rPr>
        <w:t xml:space="preserve">Физическое </w:t>
      </w:r>
      <w:proofErr w:type="gramStart"/>
      <w:r w:rsidRPr="002172FC">
        <w:rPr>
          <w:sz w:val="18"/>
          <w:szCs w:val="18"/>
        </w:rPr>
        <w:t>лицо  пребывало</w:t>
      </w:r>
      <w:proofErr w:type="gramEnd"/>
      <w:r w:rsidRPr="002172FC">
        <w:rPr>
          <w:sz w:val="18"/>
          <w:szCs w:val="18"/>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w:t>
      </w:r>
    </w:p>
    <w:p w:rsidR="00BF3BB7" w:rsidRPr="002172FC" w:rsidRDefault="00BF3BB7" w:rsidP="00BF3BB7">
      <w:pPr>
        <w:numPr>
          <w:ilvl w:val="0"/>
          <w:numId w:val="2"/>
        </w:numPr>
        <w:spacing w:after="0" w:line="240" w:lineRule="auto"/>
        <w:jc w:val="both"/>
        <w:rPr>
          <w:sz w:val="18"/>
          <w:szCs w:val="18"/>
        </w:rPr>
      </w:pPr>
      <w:r w:rsidRPr="002172FC">
        <w:rPr>
          <w:sz w:val="18"/>
          <w:szCs w:val="18"/>
        </w:rPr>
        <w:t>коэффициент для текущего года равен 1 (т.е. учитываются все дни, проведенные в США в текущем году);</w:t>
      </w:r>
    </w:p>
    <w:p w:rsidR="00BF3BB7" w:rsidRPr="002172FC" w:rsidRDefault="00BF3BB7" w:rsidP="00BF3BB7">
      <w:pPr>
        <w:numPr>
          <w:ilvl w:val="0"/>
          <w:numId w:val="1"/>
        </w:numPr>
        <w:spacing w:after="0" w:line="240" w:lineRule="auto"/>
        <w:jc w:val="both"/>
        <w:rPr>
          <w:sz w:val="18"/>
          <w:szCs w:val="18"/>
        </w:rPr>
      </w:pPr>
      <w:r w:rsidRPr="002172FC">
        <w:rPr>
          <w:sz w:val="18"/>
          <w:szCs w:val="18"/>
        </w:rPr>
        <w:t>коэффициент предшествующего года равен 1/3;</w:t>
      </w:r>
    </w:p>
    <w:p w:rsidR="00BF3BB7" w:rsidRPr="002172FC" w:rsidRDefault="00BF3BB7" w:rsidP="00BF3BB7">
      <w:pPr>
        <w:numPr>
          <w:ilvl w:val="0"/>
          <w:numId w:val="1"/>
        </w:numPr>
        <w:spacing w:after="0" w:line="240" w:lineRule="auto"/>
        <w:jc w:val="both"/>
        <w:rPr>
          <w:sz w:val="18"/>
          <w:szCs w:val="18"/>
        </w:rPr>
      </w:pPr>
      <w:r w:rsidRPr="002172FC">
        <w:rPr>
          <w:sz w:val="18"/>
          <w:szCs w:val="18"/>
        </w:rPr>
        <w:t>коэффициент позапрошлого года равен 1/6.</w:t>
      </w:r>
    </w:p>
    <w:p w:rsidR="00BF3BB7" w:rsidRPr="00366D66" w:rsidRDefault="00BF3BB7" w:rsidP="00BF3BB7">
      <w:pPr>
        <w:pStyle w:val="a3"/>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3F5"/>
    <w:multiLevelType w:val="multilevel"/>
    <w:tmpl w:val="20EC6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B019A2"/>
    <w:multiLevelType w:val="multilevel"/>
    <w:tmpl w:val="1A8846C2"/>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 w15:restartNumberingAfterBreak="0">
    <w:nsid w:val="17135C7E"/>
    <w:multiLevelType w:val="hybridMultilevel"/>
    <w:tmpl w:val="305CCA3C"/>
    <w:lvl w:ilvl="0" w:tplc="75E426EC">
      <w:start w:val="65535"/>
      <w:numFmt w:val="bullet"/>
      <w:lvlText w:val="-"/>
      <w:lvlJc w:val="left"/>
      <w:pPr>
        <w:ind w:left="1778" w:hanging="360"/>
      </w:pPr>
      <w:rPr>
        <w:rFonts w:ascii="Arial" w:hAnsi="Arial" w:cs="Arial"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1CB32856"/>
    <w:multiLevelType w:val="multilevel"/>
    <w:tmpl w:val="2BD03F24"/>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B445B4"/>
    <w:multiLevelType w:val="hybridMultilevel"/>
    <w:tmpl w:val="96C47144"/>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15:restartNumberingAfterBreak="0">
    <w:nsid w:val="484243F6"/>
    <w:multiLevelType w:val="hybridMultilevel"/>
    <w:tmpl w:val="9C60779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C3142F0"/>
    <w:multiLevelType w:val="multilevel"/>
    <w:tmpl w:val="6172D90C"/>
    <w:lvl w:ilvl="0">
      <w:start w:val="1"/>
      <w:numFmt w:val="bullet"/>
      <w:lvlText w:val=""/>
      <w:lvlJc w:val="left"/>
      <w:pPr>
        <w:ind w:left="72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04601E"/>
    <w:multiLevelType w:val="hybridMultilevel"/>
    <w:tmpl w:val="396C33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0976F69"/>
    <w:multiLevelType w:val="hybridMultilevel"/>
    <w:tmpl w:val="E0D4C5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7E7D4A"/>
    <w:multiLevelType w:val="hybridMultilevel"/>
    <w:tmpl w:val="9490CC28"/>
    <w:lvl w:ilvl="0" w:tplc="04190001">
      <w:start w:val="1"/>
      <w:numFmt w:val="bullet"/>
      <w:lvlText w:val=""/>
      <w:lvlJc w:val="left"/>
      <w:pPr>
        <w:ind w:left="1201" w:hanging="360"/>
      </w:pPr>
      <w:rPr>
        <w:rFonts w:ascii="Symbol" w:hAnsi="Symbol" w:hint="default"/>
      </w:rPr>
    </w:lvl>
    <w:lvl w:ilvl="1" w:tplc="04190003" w:tentative="1">
      <w:start w:val="1"/>
      <w:numFmt w:val="bullet"/>
      <w:lvlText w:val="o"/>
      <w:lvlJc w:val="left"/>
      <w:pPr>
        <w:ind w:left="1921" w:hanging="360"/>
      </w:pPr>
      <w:rPr>
        <w:rFonts w:ascii="Courier New" w:hAnsi="Courier New" w:cs="Courier New" w:hint="default"/>
      </w:rPr>
    </w:lvl>
    <w:lvl w:ilvl="2" w:tplc="04190005" w:tentative="1">
      <w:start w:val="1"/>
      <w:numFmt w:val="bullet"/>
      <w:lvlText w:val=""/>
      <w:lvlJc w:val="left"/>
      <w:pPr>
        <w:ind w:left="2641" w:hanging="360"/>
      </w:pPr>
      <w:rPr>
        <w:rFonts w:ascii="Wingdings" w:hAnsi="Wingdings" w:hint="default"/>
      </w:rPr>
    </w:lvl>
    <w:lvl w:ilvl="3" w:tplc="04190001" w:tentative="1">
      <w:start w:val="1"/>
      <w:numFmt w:val="bullet"/>
      <w:lvlText w:val=""/>
      <w:lvlJc w:val="left"/>
      <w:pPr>
        <w:ind w:left="3361" w:hanging="360"/>
      </w:pPr>
      <w:rPr>
        <w:rFonts w:ascii="Symbol" w:hAnsi="Symbol" w:hint="default"/>
      </w:rPr>
    </w:lvl>
    <w:lvl w:ilvl="4" w:tplc="04190003" w:tentative="1">
      <w:start w:val="1"/>
      <w:numFmt w:val="bullet"/>
      <w:lvlText w:val="o"/>
      <w:lvlJc w:val="left"/>
      <w:pPr>
        <w:ind w:left="4081" w:hanging="360"/>
      </w:pPr>
      <w:rPr>
        <w:rFonts w:ascii="Courier New" w:hAnsi="Courier New" w:cs="Courier New" w:hint="default"/>
      </w:rPr>
    </w:lvl>
    <w:lvl w:ilvl="5" w:tplc="04190005" w:tentative="1">
      <w:start w:val="1"/>
      <w:numFmt w:val="bullet"/>
      <w:lvlText w:val=""/>
      <w:lvlJc w:val="left"/>
      <w:pPr>
        <w:ind w:left="4801" w:hanging="360"/>
      </w:pPr>
      <w:rPr>
        <w:rFonts w:ascii="Wingdings" w:hAnsi="Wingdings" w:hint="default"/>
      </w:rPr>
    </w:lvl>
    <w:lvl w:ilvl="6" w:tplc="04190001" w:tentative="1">
      <w:start w:val="1"/>
      <w:numFmt w:val="bullet"/>
      <w:lvlText w:val=""/>
      <w:lvlJc w:val="left"/>
      <w:pPr>
        <w:ind w:left="5521" w:hanging="360"/>
      </w:pPr>
      <w:rPr>
        <w:rFonts w:ascii="Symbol" w:hAnsi="Symbol" w:hint="default"/>
      </w:rPr>
    </w:lvl>
    <w:lvl w:ilvl="7" w:tplc="04190003" w:tentative="1">
      <w:start w:val="1"/>
      <w:numFmt w:val="bullet"/>
      <w:lvlText w:val="o"/>
      <w:lvlJc w:val="left"/>
      <w:pPr>
        <w:ind w:left="6241" w:hanging="360"/>
      </w:pPr>
      <w:rPr>
        <w:rFonts w:ascii="Courier New" w:hAnsi="Courier New" w:cs="Courier New" w:hint="default"/>
      </w:rPr>
    </w:lvl>
    <w:lvl w:ilvl="8" w:tplc="04190005" w:tentative="1">
      <w:start w:val="1"/>
      <w:numFmt w:val="bullet"/>
      <w:lvlText w:val=""/>
      <w:lvlJc w:val="left"/>
      <w:pPr>
        <w:ind w:left="6961" w:hanging="360"/>
      </w:pPr>
      <w:rPr>
        <w:rFonts w:ascii="Wingdings" w:hAnsi="Wingdings" w:hint="default"/>
      </w:rPr>
    </w:lvl>
  </w:abstractNum>
  <w:abstractNum w:abstractNumId="10" w15:restartNumberingAfterBreak="0">
    <w:nsid w:val="542D0A11"/>
    <w:multiLevelType w:val="hybridMultilevel"/>
    <w:tmpl w:val="A656A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4F293F"/>
    <w:multiLevelType w:val="hybridMultilevel"/>
    <w:tmpl w:val="1F3237B4"/>
    <w:lvl w:ilvl="0" w:tplc="AED8216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F21794"/>
    <w:multiLevelType w:val="hybridMultilevel"/>
    <w:tmpl w:val="5ACA69EA"/>
    <w:lvl w:ilvl="0" w:tplc="D8C8F7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ED5154"/>
    <w:multiLevelType w:val="hybridMultilevel"/>
    <w:tmpl w:val="8D346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1"/>
  </w:num>
  <w:num w:numId="5">
    <w:abstractNumId w:val="13"/>
  </w:num>
  <w:num w:numId="6">
    <w:abstractNumId w:val="3"/>
  </w:num>
  <w:num w:numId="7">
    <w:abstractNumId w:val="6"/>
  </w:num>
  <w:num w:numId="8">
    <w:abstractNumId w:val="2"/>
  </w:num>
  <w:num w:numId="9">
    <w:abstractNumId w:val="9"/>
  </w:num>
  <w:num w:numId="10">
    <w:abstractNumId w:val="12"/>
  </w:num>
  <w:num w:numId="11">
    <w:abstractNumId w:val="4"/>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B7"/>
    <w:rsid w:val="0076031F"/>
    <w:rsid w:val="00795149"/>
    <w:rsid w:val="00BF3BB7"/>
    <w:rsid w:val="00E9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7D00"/>
  <w15:chartTrackingRefBased/>
  <w15:docId w15:val="{4750CE57-E565-427A-8CDF-DB07EA0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qFormat/>
    <w:rsid w:val="00BF3BB7"/>
    <w:pPr>
      <w:spacing w:after="12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rsid w:val="00BF3BB7"/>
    <w:rPr>
      <w:rFonts w:ascii="Times New Roman" w:eastAsia="Times New Roman" w:hAnsi="Times New Roman" w:cs="Times New Roman"/>
      <w:sz w:val="20"/>
      <w:szCs w:val="20"/>
      <w:lang w:eastAsia="ru-RU"/>
    </w:rPr>
  </w:style>
  <w:style w:type="character" w:styleId="a5">
    <w:name w:val="footnote reference"/>
    <w:uiPriority w:val="99"/>
    <w:rsid w:val="00BF3BB7"/>
    <w:rPr>
      <w:vertAlign w:val="superscript"/>
    </w:rPr>
  </w:style>
  <w:style w:type="paragraph" w:styleId="a6">
    <w:name w:val="List Paragraph"/>
    <w:basedOn w:val="a"/>
    <w:uiPriority w:val="34"/>
    <w:qFormat/>
    <w:rsid w:val="00BF3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Грибанова Наталья Игоревна</dc:creator>
  <cp:keywords/>
  <dc:description/>
  <cp:lastModifiedBy>Грибанова Наталья Игоревна</cp:lastModifiedBy>
  <cp:revision>1</cp:revision>
  <dcterms:created xsi:type="dcterms:W3CDTF">2021-04-19T07:03:00Z</dcterms:created>
  <dcterms:modified xsi:type="dcterms:W3CDTF">2021-04-19T07:43:00Z</dcterms:modified>
</cp:coreProperties>
</file>