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649" w:rsidRPr="00F62019" w:rsidRDefault="00FD0649" w:rsidP="005567FD">
      <w:pPr>
        <w:spacing w:line="360" w:lineRule="auto"/>
        <w:jc w:val="right"/>
        <w:outlineLvl w:val="0"/>
        <w:rPr>
          <w:rFonts w:ascii="Arial" w:hAnsi="Arial" w:cs="Arial"/>
          <w:color w:val="000000"/>
          <w:sz w:val="16"/>
          <w:szCs w:val="16"/>
        </w:rPr>
      </w:pPr>
      <w:r w:rsidRPr="00F62019">
        <w:rPr>
          <w:rFonts w:ascii="Arial" w:hAnsi="Arial" w:cs="Arial"/>
          <w:color w:val="000000"/>
          <w:sz w:val="16"/>
          <w:szCs w:val="16"/>
        </w:rPr>
        <w:t xml:space="preserve">Приложение №3 </w:t>
      </w:r>
    </w:p>
    <w:p w:rsidR="00FD0649" w:rsidRPr="00F62019" w:rsidRDefault="00FD0649" w:rsidP="005567FD">
      <w:pPr>
        <w:spacing w:line="360" w:lineRule="auto"/>
        <w:jc w:val="right"/>
        <w:outlineLvl w:val="0"/>
        <w:rPr>
          <w:rFonts w:ascii="Arial" w:hAnsi="Arial" w:cs="Arial"/>
          <w:color w:val="000000"/>
          <w:sz w:val="16"/>
          <w:szCs w:val="16"/>
        </w:rPr>
      </w:pPr>
      <w:r>
        <w:rPr>
          <w:rFonts w:ascii="Arial" w:hAnsi="Arial" w:cs="Arial"/>
          <w:color w:val="000000"/>
          <w:sz w:val="16"/>
          <w:szCs w:val="16"/>
        </w:rPr>
        <w:t xml:space="preserve">к </w:t>
      </w:r>
      <w:r w:rsidRPr="00F62019">
        <w:rPr>
          <w:rFonts w:ascii="Arial" w:hAnsi="Arial" w:cs="Arial"/>
          <w:color w:val="000000"/>
          <w:sz w:val="16"/>
          <w:szCs w:val="16"/>
        </w:rPr>
        <w:t>Договору комиссии об оказании брокерских услуг на срочном рынке</w:t>
      </w:r>
    </w:p>
    <w:p w:rsidR="00FD0649" w:rsidRPr="00F62019" w:rsidRDefault="00FD0649" w:rsidP="005567FD">
      <w:pPr>
        <w:autoSpaceDE w:val="0"/>
        <w:autoSpaceDN w:val="0"/>
        <w:adjustRightInd w:val="0"/>
        <w:ind w:firstLine="708"/>
        <w:jc w:val="right"/>
        <w:rPr>
          <w:b/>
          <w:color w:val="000000"/>
          <w:sz w:val="22"/>
          <w:szCs w:val="22"/>
        </w:rPr>
      </w:pPr>
      <w:r>
        <w:rPr>
          <w:rFonts w:ascii="Arial" w:hAnsi="Arial" w:cs="Arial"/>
          <w:color w:val="000000"/>
          <w:sz w:val="16"/>
          <w:szCs w:val="16"/>
        </w:rPr>
        <w:t xml:space="preserve">№ _____________   от “ ________ </w:t>
      </w:r>
      <w:r w:rsidRPr="00F62019">
        <w:rPr>
          <w:rFonts w:ascii="Arial" w:hAnsi="Arial" w:cs="Arial"/>
          <w:color w:val="000000"/>
          <w:sz w:val="16"/>
          <w:szCs w:val="16"/>
        </w:rPr>
        <w:t>”</w:t>
      </w:r>
      <w:r>
        <w:rPr>
          <w:rFonts w:ascii="Arial" w:hAnsi="Arial" w:cs="Arial"/>
          <w:color w:val="000000"/>
          <w:sz w:val="16"/>
          <w:szCs w:val="16"/>
        </w:rPr>
        <w:t xml:space="preserve"> _________________ 20_____</w:t>
      </w:r>
      <w:r w:rsidRPr="00F62019">
        <w:rPr>
          <w:rFonts w:ascii="Arial" w:hAnsi="Arial" w:cs="Arial"/>
          <w:color w:val="000000"/>
          <w:sz w:val="16"/>
          <w:szCs w:val="16"/>
        </w:rPr>
        <w:t>г</w:t>
      </w:r>
      <w:r w:rsidRPr="00F62019">
        <w:rPr>
          <w:b/>
          <w:color w:val="000000"/>
          <w:sz w:val="22"/>
          <w:szCs w:val="22"/>
        </w:rPr>
        <w:t xml:space="preserve">                    </w:t>
      </w:r>
    </w:p>
    <w:p w:rsidR="00FD0649" w:rsidRPr="00F62019" w:rsidRDefault="00FD0649" w:rsidP="005567FD">
      <w:pPr>
        <w:autoSpaceDE w:val="0"/>
        <w:autoSpaceDN w:val="0"/>
        <w:adjustRightInd w:val="0"/>
        <w:ind w:firstLine="708"/>
        <w:jc w:val="both"/>
        <w:rPr>
          <w:b/>
          <w:color w:val="000000"/>
          <w:sz w:val="22"/>
          <w:szCs w:val="22"/>
        </w:rPr>
      </w:pPr>
    </w:p>
    <w:p w:rsidR="00FD0649" w:rsidRPr="00F62019" w:rsidRDefault="00FD0649" w:rsidP="005567FD">
      <w:pPr>
        <w:ind w:hanging="142"/>
        <w:jc w:val="center"/>
        <w:rPr>
          <w:rFonts w:ascii="Arial" w:hAnsi="Arial" w:cs="Arial"/>
          <w:b/>
          <w:bCs/>
          <w:color w:val="000000"/>
          <w:sz w:val="18"/>
          <w:szCs w:val="18"/>
        </w:rPr>
      </w:pPr>
      <w:r w:rsidRPr="00F62019">
        <w:rPr>
          <w:rFonts w:ascii="Arial" w:hAnsi="Arial" w:cs="Arial"/>
          <w:b/>
          <w:bCs/>
          <w:color w:val="000000"/>
          <w:sz w:val="18"/>
          <w:szCs w:val="18"/>
        </w:rPr>
        <w:t>ЗАЯВЛЕНИЕ,</w:t>
      </w:r>
    </w:p>
    <w:p w:rsidR="00FD0649" w:rsidRPr="00F62019" w:rsidRDefault="00FD0649" w:rsidP="005567FD">
      <w:pPr>
        <w:ind w:hanging="142"/>
        <w:jc w:val="center"/>
        <w:outlineLvl w:val="0"/>
        <w:rPr>
          <w:rFonts w:ascii="Arial" w:hAnsi="Arial" w:cs="Arial"/>
          <w:b/>
          <w:bCs/>
          <w:color w:val="000000"/>
          <w:sz w:val="18"/>
          <w:szCs w:val="18"/>
        </w:rPr>
      </w:pPr>
      <w:r w:rsidRPr="00F62019">
        <w:rPr>
          <w:rFonts w:ascii="Arial" w:hAnsi="Arial" w:cs="Arial"/>
          <w:b/>
          <w:bCs/>
          <w:color w:val="000000"/>
          <w:sz w:val="18"/>
          <w:szCs w:val="18"/>
        </w:rPr>
        <w:t>РАСКРЫВАЮЩЕЕ РИСКИ,</w:t>
      </w:r>
    </w:p>
    <w:p w:rsidR="00FD0649" w:rsidRPr="00F62019" w:rsidRDefault="00FD0649" w:rsidP="005567FD">
      <w:pPr>
        <w:ind w:hanging="142"/>
        <w:jc w:val="center"/>
        <w:outlineLvl w:val="0"/>
        <w:rPr>
          <w:rFonts w:ascii="Arial" w:hAnsi="Arial" w:cs="Arial"/>
          <w:b/>
          <w:bCs/>
          <w:color w:val="000000"/>
          <w:sz w:val="18"/>
          <w:szCs w:val="18"/>
        </w:rPr>
      </w:pPr>
      <w:r w:rsidRPr="00F62019">
        <w:rPr>
          <w:rFonts w:ascii="Arial" w:hAnsi="Arial" w:cs="Arial"/>
          <w:b/>
          <w:bCs/>
          <w:color w:val="000000"/>
          <w:sz w:val="18"/>
          <w:szCs w:val="18"/>
        </w:rPr>
        <w:t xml:space="preserve">СВЯЗАННЫЕ С ПРОВЕДЕНИЕМ ОПЕРАЦИЙ </w:t>
      </w:r>
    </w:p>
    <w:p w:rsidR="00FD0649" w:rsidRDefault="00FD0649" w:rsidP="005567FD">
      <w:pPr>
        <w:ind w:hanging="142"/>
        <w:jc w:val="center"/>
        <w:outlineLvl w:val="0"/>
        <w:rPr>
          <w:rFonts w:ascii="Arial" w:hAnsi="Arial" w:cs="Arial"/>
          <w:sz w:val="18"/>
          <w:szCs w:val="18"/>
        </w:rPr>
      </w:pPr>
      <w:r w:rsidRPr="00F62019">
        <w:rPr>
          <w:rFonts w:ascii="Arial" w:hAnsi="Arial" w:cs="Arial"/>
          <w:b/>
          <w:bCs/>
          <w:color w:val="000000"/>
          <w:sz w:val="18"/>
          <w:szCs w:val="18"/>
        </w:rPr>
        <w:t xml:space="preserve">НА РЫНКЕ ФЬЮЧЕРСНЫХ КОНТРАКТОВ И ОПЦИОНОВ </w:t>
      </w:r>
    </w:p>
    <w:p w:rsidR="00FD0649" w:rsidRPr="00A078B9" w:rsidRDefault="00FD0649" w:rsidP="005567FD">
      <w:pPr>
        <w:rPr>
          <w:rFonts w:ascii="Arial" w:hAnsi="Arial" w:cs="Arial"/>
          <w:sz w:val="18"/>
          <w:szCs w:val="18"/>
        </w:rPr>
      </w:pPr>
      <w:r>
        <w:rPr>
          <w:rFonts w:ascii="Arial" w:hAnsi="Arial" w:cs="Arial"/>
          <w:sz w:val="18"/>
          <w:szCs w:val="18"/>
        </w:rPr>
        <w:t>Риск потери средств при проведении операций с фьючерсными контрактами и опционами на</w:t>
      </w:r>
      <w:r w:rsidRPr="00FA1FA0">
        <w:rPr>
          <w:rFonts w:ascii="Arial" w:hAnsi="Arial" w:cs="Arial"/>
          <w:sz w:val="18"/>
          <w:szCs w:val="18"/>
        </w:rPr>
        <w:t xml:space="preserve"> рынке</w:t>
      </w:r>
      <w:r w:rsidRPr="00FA1FA0">
        <w:rPr>
          <w:rFonts w:ascii="Arial" w:hAnsi="Arial" w:cs="Arial"/>
          <w:color w:val="FF0000"/>
          <w:sz w:val="18"/>
          <w:szCs w:val="18"/>
        </w:rPr>
        <w:t xml:space="preserve">  </w:t>
      </w:r>
      <w:r w:rsidRPr="00A078B9">
        <w:rPr>
          <w:rFonts w:ascii="Arial" w:hAnsi="Arial" w:cs="Arial"/>
          <w:sz w:val="18"/>
          <w:szCs w:val="18"/>
        </w:rPr>
        <w:t>Открытого акционерного общества «Московская Биржа ММВБ-РТС» может быть существенным. Вам следует всесторонне рассмотреть вопрос о приемлемости  для Вас проведения подобных операций с точки зрения  ваших финансовых ресурсов. Вы должны быть осведомлены о следующем:</w:t>
      </w:r>
    </w:p>
    <w:p w:rsidR="00FD0649" w:rsidRDefault="00FD0649" w:rsidP="005567FD">
      <w:pPr>
        <w:rPr>
          <w:rFonts w:ascii="Arial" w:hAnsi="Arial" w:cs="Arial"/>
          <w:sz w:val="18"/>
          <w:szCs w:val="18"/>
        </w:rPr>
      </w:pPr>
    </w:p>
    <w:p w:rsidR="00FD0649" w:rsidRPr="007205B4" w:rsidRDefault="00FD0649" w:rsidP="005567FD">
      <w:pPr>
        <w:pStyle w:val="a3"/>
        <w:rPr>
          <w:rFonts w:ascii="Arial" w:hAnsi="Arial" w:cs="Arial"/>
          <w:sz w:val="18"/>
          <w:szCs w:val="18"/>
        </w:rPr>
      </w:pPr>
      <w:r w:rsidRPr="007205B4">
        <w:rPr>
          <w:rFonts w:ascii="Arial" w:hAnsi="Arial" w:cs="Arial"/>
          <w:sz w:val="18"/>
          <w:szCs w:val="18"/>
        </w:rPr>
        <w:t>1) в случае,  если на рынке фьючерсных контрактов и опционов складывается ситуация, неблагоприятная для занятой Вами на этом рынке позиции,  есть вероятность в сравнительно короткий срок потерять все средства, переданные  Вами биржевому посреднику и предназначенные для внесения в качестве гарантийного обеспечения по позициям открываемым по Вашим распоряжениям на рынке фьючерсных контрактов и опционов;</w:t>
      </w:r>
    </w:p>
    <w:p w:rsidR="00FD0649" w:rsidRDefault="00FD0649" w:rsidP="005567FD">
      <w:pPr>
        <w:rPr>
          <w:rFonts w:ascii="Arial" w:hAnsi="Arial" w:cs="Arial"/>
          <w:sz w:val="18"/>
          <w:szCs w:val="18"/>
        </w:rPr>
      </w:pPr>
      <w:r>
        <w:rPr>
          <w:rFonts w:ascii="Arial" w:hAnsi="Arial" w:cs="Arial"/>
          <w:sz w:val="18"/>
          <w:szCs w:val="18"/>
        </w:rPr>
        <w:t>2) при неблагоприятном для Вас движении цен для поддержания занятой на рынке позиции от Вас могут потребовать внести дополнительные средства (вариационную  маржу, дополнительное гарантийное обеспечение и т.п.)  значительного размера и в короткий срок, и если Вы не сможете внести эти средства в установленные сроки, то Ваша позиция  может быть принудительно ликвидирована с убытком, и Вы будете ответственны за любые образовавшейся при этом потери;</w:t>
      </w:r>
    </w:p>
    <w:p w:rsidR="00FD0649" w:rsidRPr="007205B4" w:rsidRDefault="00FD0649" w:rsidP="005567FD">
      <w:pPr>
        <w:pStyle w:val="2"/>
        <w:rPr>
          <w:rFonts w:ascii="Arial" w:hAnsi="Arial" w:cs="Arial"/>
          <w:sz w:val="18"/>
          <w:szCs w:val="18"/>
        </w:rPr>
      </w:pPr>
      <w:r w:rsidRPr="007205B4">
        <w:rPr>
          <w:rFonts w:ascii="Arial" w:hAnsi="Arial" w:cs="Arial"/>
          <w:sz w:val="18"/>
          <w:szCs w:val="18"/>
        </w:rPr>
        <w:t>3) если Вы в ответ на предъявляемое требование к размеру гарантийного обеспечения внесли в соответствии с договором залога имущество или иные ценности, то после совершения по Вашему распоряжению сделки Вы теряете право распоряжения им до закрытия Вами позиций, а кроме того в случаях, предусмотренных правилами торговли и договором залога, на данное имущество или иные ценности может быть обращено взыскание и они могут быть реализованы;</w:t>
      </w:r>
    </w:p>
    <w:p w:rsidR="00FD0649" w:rsidRDefault="00FD0649" w:rsidP="005567FD">
      <w:pPr>
        <w:rPr>
          <w:rFonts w:ascii="Arial" w:hAnsi="Arial" w:cs="Arial"/>
          <w:sz w:val="18"/>
          <w:szCs w:val="18"/>
        </w:rPr>
      </w:pPr>
      <w:r>
        <w:rPr>
          <w:rFonts w:ascii="Arial" w:hAnsi="Arial" w:cs="Arial"/>
          <w:sz w:val="18"/>
          <w:szCs w:val="18"/>
        </w:rPr>
        <w:t>4) в следствии условий, складывающихся на рынке фьючерсных контрактов и опционов, может стать затруднительным или невозможным закрытие открытой Вами позиции. Это возможно, например, когда при быстром изменении цен торги на рынке фьючерсных контрактов и опционов приостановлены или ограничены</w:t>
      </w:r>
    </w:p>
    <w:p w:rsidR="00FD0649" w:rsidRDefault="00FD0649" w:rsidP="005567FD">
      <w:pPr>
        <w:rPr>
          <w:rFonts w:ascii="Arial" w:hAnsi="Arial" w:cs="Arial"/>
          <w:sz w:val="18"/>
          <w:szCs w:val="18"/>
        </w:rPr>
      </w:pPr>
      <w:r>
        <w:rPr>
          <w:rFonts w:ascii="Arial" w:hAnsi="Arial" w:cs="Arial"/>
          <w:sz w:val="18"/>
          <w:szCs w:val="18"/>
        </w:rPr>
        <w:t>5) стоп-распоряжения, направленные на  ограничение убытков, необязательно ограничат Ваши потери до предполагаемого уровня, так как в складывающейся на рынке ситуации может оказаться невозможным исполнить такое поручение по оговоренной цене</w:t>
      </w:r>
    </w:p>
    <w:p w:rsidR="00FD0649" w:rsidRDefault="00FD0649" w:rsidP="005567FD">
      <w:pPr>
        <w:rPr>
          <w:rFonts w:ascii="Arial" w:hAnsi="Arial" w:cs="Arial"/>
          <w:sz w:val="18"/>
          <w:szCs w:val="18"/>
        </w:rPr>
      </w:pPr>
      <w:r>
        <w:rPr>
          <w:rFonts w:ascii="Arial" w:hAnsi="Arial" w:cs="Arial"/>
          <w:sz w:val="18"/>
          <w:szCs w:val="18"/>
        </w:rPr>
        <w:t>6) покупка опциона сопряжена со значительно меньшим риском, чем при торговле фьючерсными контрактами, так как Ваши потери не превысят величину уплаченной Вами премии плюс   комиссионное вознаграждение биржевому посреднику и  прочие сборы. При продаже опциона Ваш риск сопоставим с риском при сделках с фьючерсными контрактами - при относительно небольших неблагоприятных движениях цен на рынке Вы подвергаетесь риску потенциально неограниченных убытков, превышающих полученную при продаже опциона премию. Совершение сделок по продаже опционов может быть рекомендовано только опытным инвесторам, обладающим значительными финансовыми возможностями и опытом применения стратегий.</w:t>
      </w:r>
    </w:p>
    <w:p w:rsidR="00FD0649" w:rsidRDefault="00FD0649" w:rsidP="005567FD">
      <w:pPr>
        <w:rPr>
          <w:rFonts w:ascii="Arial" w:hAnsi="Arial" w:cs="Arial"/>
          <w:sz w:val="18"/>
          <w:szCs w:val="18"/>
        </w:rPr>
      </w:pPr>
      <w:r>
        <w:rPr>
          <w:rFonts w:ascii="Arial" w:hAnsi="Arial" w:cs="Arial"/>
          <w:sz w:val="18"/>
          <w:szCs w:val="18"/>
        </w:rPr>
        <w:t>Существуют различные виды опционов, и Вам до начала проведения операций на рынке опционов следует обсудить с Вашим биржевым посредником Ваши инвестиционные потребности и риски, связанные с такого рода сделками;</w:t>
      </w:r>
    </w:p>
    <w:p w:rsidR="00FD0649" w:rsidRDefault="00FD0649" w:rsidP="005567FD">
      <w:pPr>
        <w:rPr>
          <w:rFonts w:ascii="Arial" w:hAnsi="Arial" w:cs="Arial"/>
          <w:sz w:val="18"/>
          <w:szCs w:val="18"/>
        </w:rPr>
      </w:pPr>
      <w:r>
        <w:rPr>
          <w:rFonts w:ascii="Arial" w:hAnsi="Arial" w:cs="Arial"/>
          <w:sz w:val="18"/>
          <w:szCs w:val="18"/>
        </w:rPr>
        <w:t>7) до совершения сделки Вам следует согласовать с Вашим биржевым посредником и получить письменное подтверждение о размере комиссионного вознаграждения, а также информацию о размерах иных сборов;</w:t>
      </w:r>
    </w:p>
    <w:p w:rsidR="00FD0649" w:rsidRDefault="00FD0649" w:rsidP="005567FD">
      <w:pPr>
        <w:rPr>
          <w:rFonts w:ascii="Arial" w:hAnsi="Arial" w:cs="Arial"/>
          <w:sz w:val="18"/>
          <w:szCs w:val="18"/>
        </w:rPr>
      </w:pPr>
      <w:r>
        <w:rPr>
          <w:rFonts w:ascii="Arial" w:hAnsi="Arial" w:cs="Arial"/>
          <w:sz w:val="18"/>
          <w:szCs w:val="18"/>
        </w:rPr>
        <w:t>8) биржевые посредники могут проводить операции от своего имени и за свой счет с теми же фьючерсными контрактами и опционами, что и Вы, а это может привести к возникновению конфликта интересов. Ваш биржевой посредник должен заранее информировать Вас  о том, что он торгует за свой счет на рынках соответствующих фьючерсных контрактов и опционов</w:t>
      </w:r>
    </w:p>
    <w:p w:rsidR="00FD0649" w:rsidRDefault="00FD0649" w:rsidP="005567FD">
      <w:pPr>
        <w:rPr>
          <w:rFonts w:ascii="Arial" w:hAnsi="Arial" w:cs="Arial"/>
          <w:sz w:val="18"/>
          <w:szCs w:val="18"/>
        </w:rPr>
      </w:pPr>
      <w:r>
        <w:rPr>
          <w:rFonts w:ascii="Arial" w:hAnsi="Arial" w:cs="Arial"/>
          <w:sz w:val="18"/>
          <w:szCs w:val="18"/>
        </w:rPr>
        <w:t>9) неплатежеспособность Вашего биржевого посредника или иных привлеченных к контракту посредников может повлечь за собой закрытие Вашей позиции без Вашего согласия. Гарантии исполнения контрактов со стороны Биржи применимы только к взаимным обязательствам между Биржей и биржевыми посредниками</w:t>
      </w:r>
    </w:p>
    <w:p w:rsidR="00FD0649" w:rsidRDefault="00FD0649" w:rsidP="005567FD">
      <w:pPr>
        <w:rPr>
          <w:rFonts w:ascii="Arial" w:hAnsi="Arial" w:cs="Arial"/>
          <w:sz w:val="18"/>
          <w:szCs w:val="18"/>
        </w:rPr>
      </w:pPr>
    </w:p>
    <w:p w:rsidR="00FD0649" w:rsidRDefault="00FD0649" w:rsidP="005567FD">
      <w:pPr>
        <w:rPr>
          <w:rFonts w:ascii="Arial" w:hAnsi="Arial" w:cs="Arial"/>
          <w:sz w:val="18"/>
          <w:szCs w:val="18"/>
        </w:rPr>
      </w:pPr>
      <w:r>
        <w:rPr>
          <w:rFonts w:ascii="Arial" w:hAnsi="Arial" w:cs="Arial"/>
          <w:sz w:val="18"/>
          <w:szCs w:val="18"/>
        </w:rPr>
        <w:t>Настоящее краткое заявление не раскрывает всех рисков, связанных с проведением операций на рынке фьючерсных контрактов и опционов.</w:t>
      </w:r>
    </w:p>
    <w:p w:rsidR="00FD0649" w:rsidRDefault="00FD0649" w:rsidP="005567FD">
      <w:pPr>
        <w:rPr>
          <w:rFonts w:ascii="Arial" w:hAnsi="Arial" w:cs="Arial"/>
          <w:sz w:val="18"/>
          <w:szCs w:val="18"/>
        </w:rPr>
      </w:pPr>
    </w:p>
    <w:p w:rsidR="00FD0649" w:rsidRPr="007205B4" w:rsidRDefault="00FD0649" w:rsidP="005567FD">
      <w:pPr>
        <w:ind w:firstLine="142"/>
        <w:rPr>
          <w:rFonts w:ascii="Arial" w:hAnsi="Arial" w:cs="Arial"/>
          <w:sz w:val="18"/>
          <w:szCs w:val="18"/>
        </w:rPr>
      </w:pPr>
      <w:r>
        <w:rPr>
          <w:rFonts w:ascii="Arial" w:hAnsi="Arial" w:cs="Arial"/>
          <w:sz w:val="18"/>
          <w:szCs w:val="18"/>
        </w:rPr>
        <w:t xml:space="preserve">                  </w:t>
      </w:r>
      <w:r w:rsidRPr="007205B4">
        <w:rPr>
          <w:rFonts w:ascii="Arial" w:hAnsi="Arial" w:cs="Arial"/>
          <w:sz w:val="18"/>
          <w:szCs w:val="18"/>
        </w:rPr>
        <w:t>ОАО  КБ “Солидарность”</w:t>
      </w:r>
    </w:p>
    <w:p w:rsidR="00FD0649" w:rsidRDefault="00FD0649" w:rsidP="005567FD">
      <w:pPr>
        <w:ind w:firstLine="142"/>
        <w:rPr>
          <w:rFonts w:ascii="Arial" w:hAnsi="Arial" w:cs="Arial"/>
          <w:sz w:val="18"/>
          <w:szCs w:val="18"/>
        </w:rPr>
      </w:pPr>
      <w:r>
        <w:rPr>
          <w:rFonts w:ascii="Arial" w:hAnsi="Arial" w:cs="Arial"/>
          <w:sz w:val="18"/>
          <w:szCs w:val="18"/>
        </w:rPr>
        <w:t xml:space="preserve">                      (биржевой  посредник)</w:t>
      </w:r>
    </w:p>
    <w:p w:rsidR="00FD0649" w:rsidRPr="00A80B63" w:rsidRDefault="00FD0649" w:rsidP="005567FD">
      <w:pPr>
        <w:rPr>
          <w:rFonts w:ascii="Arial" w:hAnsi="Arial" w:cs="Arial"/>
          <w:color w:val="FF0000"/>
          <w:sz w:val="18"/>
          <w:szCs w:val="18"/>
        </w:rPr>
      </w:pPr>
      <w:r w:rsidRPr="00A80B63">
        <w:rPr>
          <w:rFonts w:ascii="Arial" w:hAnsi="Arial" w:cs="Arial"/>
          <w:color w:val="FF0000"/>
          <w:sz w:val="18"/>
          <w:szCs w:val="18"/>
        </w:rPr>
        <w:tab/>
      </w:r>
      <w:r w:rsidRPr="00A80B63">
        <w:rPr>
          <w:rFonts w:ascii="Arial" w:hAnsi="Arial" w:cs="Arial"/>
          <w:color w:val="FF0000"/>
          <w:sz w:val="18"/>
          <w:szCs w:val="18"/>
        </w:rPr>
        <w:tab/>
      </w:r>
      <w:r w:rsidRPr="00A80B63">
        <w:rPr>
          <w:rFonts w:ascii="Arial" w:hAnsi="Arial" w:cs="Arial"/>
          <w:color w:val="FF0000"/>
          <w:sz w:val="18"/>
          <w:szCs w:val="18"/>
        </w:rPr>
        <w:tab/>
      </w:r>
      <w:r w:rsidRPr="00A80B63">
        <w:rPr>
          <w:rFonts w:ascii="Arial" w:hAnsi="Arial" w:cs="Arial"/>
          <w:color w:val="FF0000"/>
          <w:sz w:val="18"/>
          <w:szCs w:val="18"/>
        </w:rPr>
        <w:tab/>
      </w:r>
      <w:r w:rsidRPr="00A80B63">
        <w:rPr>
          <w:rFonts w:ascii="Arial" w:hAnsi="Arial" w:cs="Arial"/>
          <w:color w:val="FF0000"/>
          <w:sz w:val="18"/>
          <w:szCs w:val="18"/>
        </w:rPr>
        <w:tab/>
      </w:r>
      <w:r w:rsidRPr="00A80B63">
        <w:rPr>
          <w:rFonts w:ascii="Arial" w:hAnsi="Arial" w:cs="Arial"/>
          <w:color w:val="FF0000"/>
          <w:sz w:val="18"/>
          <w:szCs w:val="18"/>
        </w:rPr>
        <w:tab/>
        <w:t xml:space="preserve">                    </w:t>
      </w:r>
    </w:p>
    <w:p w:rsidR="00FD0649" w:rsidRPr="00A078B9" w:rsidRDefault="00FD0649" w:rsidP="005567FD">
      <w:pPr>
        <w:outlineLvl w:val="0"/>
        <w:rPr>
          <w:sz w:val="19"/>
          <w:szCs w:val="19"/>
        </w:rPr>
      </w:pPr>
      <w:r w:rsidRPr="00A078B9">
        <w:rPr>
          <w:sz w:val="19"/>
          <w:szCs w:val="19"/>
        </w:rPr>
        <w:t>С вышеизложенным предупр</w:t>
      </w:r>
      <w:r>
        <w:rPr>
          <w:sz w:val="19"/>
          <w:szCs w:val="19"/>
        </w:rPr>
        <w:t>еждением о риске ознакомился  “</w:t>
      </w:r>
      <w:r w:rsidRPr="00FD0649">
        <w:rPr>
          <w:sz w:val="19"/>
          <w:szCs w:val="19"/>
          <w:u w:val="single"/>
        </w:rPr>
        <w:t xml:space="preserve">       </w:t>
      </w:r>
      <w:r w:rsidRPr="00A078B9">
        <w:rPr>
          <w:sz w:val="19"/>
          <w:szCs w:val="19"/>
        </w:rPr>
        <w:t>”</w:t>
      </w:r>
      <w:r w:rsidRPr="00FD0649">
        <w:rPr>
          <w:noProof/>
          <w:sz w:val="19"/>
          <w:szCs w:val="19"/>
          <w:u w:val="single"/>
        </w:rPr>
        <w:t xml:space="preserve">              </w:t>
      </w:r>
      <w:r>
        <w:rPr>
          <w:sz w:val="19"/>
          <w:szCs w:val="19"/>
        </w:rPr>
        <w:t xml:space="preserve"> </w:t>
      </w:r>
      <w:r w:rsidRPr="00A078B9">
        <w:rPr>
          <w:sz w:val="19"/>
          <w:szCs w:val="19"/>
        </w:rPr>
        <w:t>20</w:t>
      </w:r>
      <w:r w:rsidRPr="00FD0649">
        <w:rPr>
          <w:sz w:val="19"/>
          <w:szCs w:val="19"/>
        </w:rPr>
        <w:t xml:space="preserve">         </w:t>
      </w:r>
      <w:r w:rsidRPr="00A078B9">
        <w:rPr>
          <w:sz w:val="19"/>
          <w:szCs w:val="19"/>
        </w:rPr>
        <w:t xml:space="preserve"> г.                           </w:t>
      </w:r>
    </w:p>
    <w:p w:rsidR="00FD0649" w:rsidRPr="00A078B9" w:rsidRDefault="00FD0649" w:rsidP="005567FD">
      <w:pPr>
        <w:outlineLvl w:val="0"/>
        <w:rPr>
          <w:sz w:val="19"/>
          <w:szCs w:val="19"/>
        </w:rPr>
      </w:pPr>
    </w:p>
    <w:p w:rsidR="00FD0649" w:rsidRPr="00A138C3" w:rsidRDefault="00FD0649" w:rsidP="00CE76F6">
      <w:pPr>
        <w:tabs>
          <w:tab w:val="left" w:pos="9360"/>
        </w:tabs>
        <w:outlineLvl w:val="0"/>
        <w:rPr>
          <w:b/>
          <w:sz w:val="19"/>
          <w:szCs w:val="19"/>
          <w:u w:val="single"/>
        </w:rPr>
      </w:pPr>
      <w:r>
        <w:rPr>
          <w:b/>
          <w:noProof/>
          <w:sz w:val="19"/>
          <w:szCs w:val="19"/>
          <w:u w:val="single"/>
          <w:lang w:val="en-US"/>
        </w:rPr>
        <w:t xml:space="preserve"> </w:t>
      </w:r>
      <w:r w:rsidRPr="00A138C3">
        <w:rPr>
          <w:b/>
          <w:sz w:val="19"/>
          <w:szCs w:val="19"/>
          <w:u w:val="single"/>
          <w:lang w:val="en-US"/>
        </w:rPr>
        <w:tab/>
      </w:r>
      <w:r w:rsidRPr="00A138C3">
        <w:rPr>
          <w:b/>
          <w:sz w:val="19"/>
          <w:szCs w:val="19"/>
          <w:u w:val="single"/>
        </w:rPr>
        <w:t xml:space="preserve"> </w:t>
      </w:r>
    </w:p>
    <w:p w:rsidR="00FD0649" w:rsidRPr="00A078B9" w:rsidRDefault="00FD0649" w:rsidP="005567FD">
      <w:pPr>
        <w:rPr>
          <w:sz w:val="19"/>
          <w:szCs w:val="19"/>
        </w:rPr>
      </w:pPr>
      <w:r w:rsidRPr="00A078B9">
        <w:rPr>
          <w:sz w:val="19"/>
          <w:szCs w:val="19"/>
        </w:rPr>
        <w:t xml:space="preserve">    ( полное наименование клиента – юридического лица, фамилия, имя, отчество клиента - физического лица)                                                    </w:t>
      </w:r>
    </w:p>
    <w:p w:rsidR="00FD0649" w:rsidRPr="00A078B9" w:rsidRDefault="00FD0649" w:rsidP="005567FD">
      <w:pPr>
        <w:jc w:val="right"/>
        <w:rPr>
          <w:sz w:val="19"/>
          <w:szCs w:val="19"/>
        </w:rPr>
      </w:pPr>
      <w:r w:rsidRPr="00A078B9">
        <w:rPr>
          <w:sz w:val="19"/>
          <w:szCs w:val="19"/>
        </w:rPr>
        <w:t xml:space="preserve">                                                                                                        </w:t>
      </w:r>
    </w:p>
    <w:p w:rsidR="00FD0649" w:rsidRPr="00A078B9" w:rsidRDefault="00FD0649" w:rsidP="00CE76F6">
      <w:pPr>
        <w:jc w:val="cente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1" locked="0" layoutInCell="1" allowOverlap="1">
                <wp:simplePos x="0" y="0"/>
                <wp:positionH relativeFrom="column">
                  <wp:posOffset>1828800</wp:posOffset>
                </wp:positionH>
                <wp:positionV relativeFrom="paragraph">
                  <wp:posOffset>102235</wp:posOffset>
                </wp:positionV>
                <wp:extent cx="917575" cy="228600"/>
                <wp:effectExtent l="13335" t="5715" r="12065"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228600"/>
                        </a:xfrm>
                        <a:prstGeom prst="rect">
                          <a:avLst/>
                        </a:prstGeom>
                        <a:solidFill>
                          <a:srgbClr val="FFFFFF"/>
                        </a:solidFill>
                        <a:ln w="3175">
                          <a:solidFill>
                            <a:srgbClr val="FFFFFF"/>
                          </a:solidFill>
                          <a:miter lim="800000"/>
                          <a:headEnd/>
                          <a:tailEnd/>
                        </a:ln>
                      </wps:spPr>
                      <wps:txbx>
                        <w:txbxContent>
                          <w:p w:rsidR="00FD0649" w:rsidRPr="00CE76F6" w:rsidRDefault="00FD0649">
                            <w:pPr>
                              <w:rPr>
                                <w:sz w:val="20"/>
                                <w:szCs w:val="20"/>
                                <w:lang w:val="en-US"/>
                              </w:rPr>
                            </w:pPr>
                            <w:r w:rsidRPr="00CE76F6">
                              <w:rPr>
                                <w:sz w:val="20"/>
                                <w:szCs w:val="20"/>
                                <w:lang w:val="en-US"/>
                              </w:rPr>
                              <w:t>(</w:t>
                            </w:r>
                            <w:r w:rsidRPr="00CE76F6">
                              <w:rPr>
                                <w:sz w:val="20"/>
                                <w:szCs w:val="20"/>
                              </w:rPr>
                              <w:t>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in;margin-top:8.05pt;width:72.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" strokecolor="white" strokeweight=".25pt">
                <v:textbox>
                  <w:txbxContent>
                    <w:p w:rsidR="00FD0649" w:rsidRPr="00CE76F6" w:rsidRDefault="00FD0649">
                      <w:pPr>
                        <w:rPr>
                          <w:sz w:val="20"/>
                          <w:szCs w:val="20"/>
                          <w:lang w:val="en-US"/>
                        </w:rPr>
                      </w:pPr>
                      <w:r w:rsidRPr="00CE76F6">
                        <w:rPr>
                          <w:sz w:val="20"/>
                          <w:szCs w:val="20"/>
                          <w:lang w:val="en-US"/>
                        </w:rPr>
                        <w:t>(</w:t>
                      </w:r>
                      <w:r w:rsidRPr="00CE76F6">
                        <w:rPr>
                          <w:sz w:val="20"/>
                          <w:szCs w:val="20"/>
                        </w:rPr>
                        <w:t>подпись)</w:t>
                      </w:r>
                    </w:p>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60288" behindDoc="1" locked="0" layoutInCell="1" allowOverlap="1">
                <wp:simplePos x="0" y="0"/>
                <wp:positionH relativeFrom="column">
                  <wp:posOffset>2971800</wp:posOffset>
                </wp:positionH>
                <wp:positionV relativeFrom="paragraph">
                  <wp:posOffset>102235</wp:posOffset>
                </wp:positionV>
                <wp:extent cx="1333500" cy="342900"/>
                <wp:effectExtent l="13335" t="5715" r="5715"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rgbClr val="FFFFFF"/>
                        </a:solidFill>
                        <a:ln w="3175">
                          <a:solidFill>
                            <a:srgbClr val="FFFFFF"/>
                          </a:solidFill>
                          <a:miter lim="800000"/>
                          <a:headEnd/>
                          <a:tailEnd/>
                        </a:ln>
                      </wps:spPr>
                      <wps:txbx>
                        <w:txbxContent>
                          <w:p w:rsidR="00FD0649" w:rsidRPr="00CE76F6" w:rsidRDefault="00FD0649" w:rsidP="00CE76F6">
                            <w:pPr>
                              <w:rPr>
                                <w:lang w:val="en-US"/>
                              </w:rPr>
                            </w:pPr>
                            <w:r w:rsidRPr="00A078B9">
                              <w:rPr>
                                <w:sz w:val="19"/>
                                <w:szCs w:val="19"/>
                              </w:rPr>
                              <w:t>(фамилия,</w:t>
                            </w:r>
                            <w:r>
                              <w:rPr>
                                <w:sz w:val="19"/>
                                <w:szCs w:val="19"/>
                              </w:rPr>
                              <w:t>инициалы)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34pt;margin-top:8.05pt;width:10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" strokecolor="white" strokeweight=".25pt">
                <v:textbox>
                  <w:txbxContent>
                    <w:p w:rsidR="00FD0649" w:rsidRPr="00CE76F6" w:rsidRDefault="00FD0649" w:rsidP="00CE76F6">
                      <w:pPr>
                        <w:rPr>
                          <w:lang w:val="en-US"/>
                        </w:rPr>
                      </w:pPr>
                      <w:r w:rsidRPr="00A078B9">
                        <w:rPr>
                          <w:sz w:val="19"/>
                          <w:szCs w:val="19"/>
                        </w:rPr>
                        <w:t>(фамилия,</w:t>
                      </w:r>
                      <w:r>
                        <w:rPr>
                          <w:sz w:val="19"/>
                          <w:szCs w:val="19"/>
                        </w:rPr>
                        <w:t>инициалы)</w:t>
                      </w:r>
                    </w:p>
                  </w:txbxContent>
                </v:textbox>
              </v:shape>
            </w:pict>
          </mc:Fallback>
        </mc:AlternateContent>
      </w:r>
      <w:r w:rsidRPr="00A078B9">
        <w:rPr>
          <w:sz w:val="19"/>
          <w:szCs w:val="19"/>
        </w:rPr>
        <w:t>/ ___________________ / ___</w:t>
      </w:r>
      <w:r>
        <w:rPr>
          <w:noProof/>
          <w:u w:val="single"/>
          <w:lang w:val="en-US"/>
        </w:rPr>
        <w:t xml:space="preserve">                       </w:t>
      </w:r>
      <w:bookmarkStart w:id="0" w:name="_GoBack"/>
      <w:bookmarkEnd w:id="0"/>
      <w:r w:rsidRPr="00A078B9">
        <w:rPr>
          <w:sz w:val="19"/>
          <w:szCs w:val="19"/>
        </w:rPr>
        <w:t xml:space="preserve">  /                                            </w:t>
      </w:r>
    </w:p>
    <w:p w:rsidR="00FD0649" w:rsidRDefault="00FD0649" w:rsidP="00231B7C">
      <w:pPr>
        <w:tabs>
          <w:tab w:val="left" w:pos="3180"/>
          <w:tab w:val="center" w:pos="5031"/>
        </w:tabs>
        <w:autoSpaceDE w:val="0"/>
        <w:autoSpaceDN w:val="0"/>
        <w:adjustRightInd w:val="0"/>
        <w:ind w:firstLine="708"/>
        <w:sectPr w:rsidR="00FD0649" w:rsidSect="00FD0649">
          <w:pgSz w:w="11906" w:h="16838"/>
          <w:pgMar w:top="1134" w:right="850" w:bottom="1134" w:left="1701" w:header="708" w:footer="708" w:gutter="0"/>
          <w:pgNumType w:start="1"/>
          <w:cols w:space="708"/>
          <w:docGrid w:linePitch="360"/>
        </w:sectPr>
      </w:pPr>
      <w:r>
        <w:rPr>
          <w:rFonts w:ascii="Arial" w:hAnsi="Arial" w:cs="Arial"/>
          <w:noProof/>
          <w:color w:val="FF0000"/>
          <w:sz w:val="18"/>
          <w:szCs w:val="18"/>
        </w:rPr>
        <mc:AlternateContent>
          <mc:Choice Requires="wps">
            <w:drawing>
              <wp:anchor distT="0" distB="0" distL="114300" distR="114300" simplePos="0" relativeHeight="251661312" behindDoc="1" locked="0" layoutInCell="1" allowOverlap="1">
                <wp:simplePos x="0" y="0"/>
                <wp:positionH relativeFrom="column">
                  <wp:posOffset>1943100</wp:posOffset>
                </wp:positionH>
                <wp:positionV relativeFrom="paragraph">
                  <wp:posOffset>155575</wp:posOffset>
                </wp:positionV>
                <wp:extent cx="457200" cy="228600"/>
                <wp:effectExtent l="13335" t="5715" r="5715" b="133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3175">
                          <a:solidFill>
                            <a:srgbClr val="FFFFFF"/>
                          </a:solidFill>
                          <a:miter lim="800000"/>
                          <a:headEnd/>
                          <a:tailEnd/>
                        </a:ln>
                      </wps:spPr>
                      <wps:txbx>
                        <w:txbxContent>
                          <w:p w:rsidR="00FD0649" w:rsidRPr="00CE76F6" w:rsidRDefault="00FD0649" w:rsidP="00CE76F6">
                            <w:pPr>
                              <w:rPr>
                                <w:sz w:val="20"/>
                                <w:szCs w:val="20"/>
                              </w:rPr>
                            </w:pPr>
                            <w:r>
                              <w:rPr>
                                <w:sz w:val="20"/>
                                <w:szCs w:val="20"/>
                                <w:lang w:val="en-US"/>
                              </w:rPr>
                              <w:t>M</w:t>
                            </w:r>
                            <w:r>
                              <w:rPr>
                                <w:sz w:val="20"/>
                                <w:szCs w:val="20"/>
                              </w:rPr>
                              <w:t>.П.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53pt;margin-top:12.25pt;width:36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" strokecolor="white" strokeweight=".25pt">
                <v:textbox>
                  <w:txbxContent>
                    <w:p w:rsidR="00FD0649" w:rsidRPr="00CE76F6" w:rsidRDefault="00FD0649" w:rsidP="00CE76F6">
                      <w:pPr>
                        <w:rPr>
                          <w:sz w:val="20"/>
                          <w:szCs w:val="20"/>
                        </w:rPr>
                      </w:pPr>
                      <w:r>
                        <w:rPr>
                          <w:sz w:val="20"/>
                          <w:szCs w:val="20"/>
                          <w:lang w:val="en-US"/>
                        </w:rPr>
                        <w:t>M</w:t>
                      </w:r>
                      <w:r>
                        <w:rPr>
                          <w:sz w:val="20"/>
                          <w:szCs w:val="20"/>
                        </w:rPr>
                        <w:t>.П.</w:t>
                      </w:r>
                    </w:p>
                  </w:txbxContent>
                </v:textbox>
              </v:shape>
            </w:pict>
          </mc:Fallback>
        </mc:AlternateContent>
      </w:r>
    </w:p>
    <w:p w:rsidR="00FD0649" w:rsidRDefault="00FD0649" w:rsidP="00231B7C">
      <w:pPr>
        <w:tabs>
          <w:tab w:val="left" w:pos="3180"/>
          <w:tab w:val="center" w:pos="5031"/>
        </w:tabs>
        <w:autoSpaceDE w:val="0"/>
        <w:autoSpaceDN w:val="0"/>
        <w:adjustRightInd w:val="0"/>
        <w:ind w:firstLine="708"/>
      </w:pPr>
    </w:p>
    <w:sectPr w:rsidR="00FD0649" w:rsidSect="00FD064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FD"/>
    <w:rsid w:val="00016205"/>
    <w:rsid w:val="0004162A"/>
    <w:rsid w:val="00042B41"/>
    <w:rsid w:val="0004352C"/>
    <w:rsid w:val="00045AD4"/>
    <w:rsid w:val="00082475"/>
    <w:rsid w:val="00095ABD"/>
    <w:rsid w:val="000A429A"/>
    <w:rsid w:val="000B65B5"/>
    <w:rsid w:val="000C2E97"/>
    <w:rsid w:val="000C351B"/>
    <w:rsid w:val="000F0B6C"/>
    <w:rsid w:val="00112883"/>
    <w:rsid w:val="00154E81"/>
    <w:rsid w:val="00190C3F"/>
    <w:rsid w:val="001A21D6"/>
    <w:rsid w:val="001A55B9"/>
    <w:rsid w:val="001B71F5"/>
    <w:rsid w:val="001C066E"/>
    <w:rsid w:val="001C4326"/>
    <w:rsid w:val="001D203C"/>
    <w:rsid w:val="001D2A17"/>
    <w:rsid w:val="001E20E8"/>
    <w:rsid w:val="001F085A"/>
    <w:rsid w:val="0020026A"/>
    <w:rsid w:val="00203607"/>
    <w:rsid w:val="0020657A"/>
    <w:rsid w:val="0020711C"/>
    <w:rsid w:val="00212E6D"/>
    <w:rsid w:val="002132E4"/>
    <w:rsid w:val="00215219"/>
    <w:rsid w:val="00231B7C"/>
    <w:rsid w:val="00242C4F"/>
    <w:rsid w:val="002540DB"/>
    <w:rsid w:val="002604AF"/>
    <w:rsid w:val="00260AE4"/>
    <w:rsid w:val="002641B4"/>
    <w:rsid w:val="00280B98"/>
    <w:rsid w:val="00280E6E"/>
    <w:rsid w:val="0028263C"/>
    <w:rsid w:val="0028470B"/>
    <w:rsid w:val="002A3E4B"/>
    <w:rsid w:val="002A6568"/>
    <w:rsid w:val="002C1AA2"/>
    <w:rsid w:val="002E0D76"/>
    <w:rsid w:val="002F1C23"/>
    <w:rsid w:val="002F6025"/>
    <w:rsid w:val="00303D31"/>
    <w:rsid w:val="003053A8"/>
    <w:rsid w:val="00305D0D"/>
    <w:rsid w:val="003065BE"/>
    <w:rsid w:val="0032259B"/>
    <w:rsid w:val="003319DA"/>
    <w:rsid w:val="00341DF9"/>
    <w:rsid w:val="003529C2"/>
    <w:rsid w:val="00352EF1"/>
    <w:rsid w:val="003A2D08"/>
    <w:rsid w:val="003C5536"/>
    <w:rsid w:val="003C5F40"/>
    <w:rsid w:val="003E3E13"/>
    <w:rsid w:val="00401297"/>
    <w:rsid w:val="00402726"/>
    <w:rsid w:val="00431245"/>
    <w:rsid w:val="00440FE7"/>
    <w:rsid w:val="0046335F"/>
    <w:rsid w:val="00483886"/>
    <w:rsid w:val="00495F9A"/>
    <w:rsid w:val="004970A5"/>
    <w:rsid w:val="004A1326"/>
    <w:rsid w:val="004A6660"/>
    <w:rsid w:val="004C779B"/>
    <w:rsid w:val="004D0B82"/>
    <w:rsid w:val="004D203C"/>
    <w:rsid w:val="004E11AB"/>
    <w:rsid w:val="004E31C2"/>
    <w:rsid w:val="004E42B9"/>
    <w:rsid w:val="004E5C50"/>
    <w:rsid w:val="004F2399"/>
    <w:rsid w:val="00510B18"/>
    <w:rsid w:val="0051377B"/>
    <w:rsid w:val="005152AC"/>
    <w:rsid w:val="00517319"/>
    <w:rsid w:val="00522C0E"/>
    <w:rsid w:val="005406C4"/>
    <w:rsid w:val="00541B2B"/>
    <w:rsid w:val="00541F23"/>
    <w:rsid w:val="00541F4A"/>
    <w:rsid w:val="00543A1D"/>
    <w:rsid w:val="005551C1"/>
    <w:rsid w:val="005567FD"/>
    <w:rsid w:val="00564B06"/>
    <w:rsid w:val="00565065"/>
    <w:rsid w:val="00574FD0"/>
    <w:rsid w:val="00580EA7"/>
    <w:rsid w:val="00586850"/>
    <w:rsid w:val="00593D0A"/>
    <w:rsid w:val="005A1C83"/>
    <w:rsid w:val="005B3863"/>
    <w:rsid w:val="005C4DAC"/>
    <w:rsid w:val="005D11F5"/>
    <w:rsid w:val="005D1DB9"/>
    <w:rsid w:val="005E4EE4"/>
    <w:rsid w:val="005E7BAD"/>
    <w:rsid w:val="005F1113"/>
    <w:rsid w:val="005F2F19"/>
    <w:rsid w:val="006049F8"/>
    <w:rsid w:val="00607385"/>
    <w:rsid w:val="00613015"/>
    <w:rsid w:val="00617570"/>
    <w:rsid w:val="00624C7F"/>
    <w:rsid w:val="00635002"/>
    <w:rsid w:val="00641C9B"/>
    <w:rsid w:val="006620AD"/>
    <w:rsid w:val="006C7C80"/>
    <w:rsid w:val="006E6927"/>
    <w:rsid w:val="006E7337"/>
    <w:rsid w:val="006E7974"/>
    <w:rsid w:val="00703DEC"/>
    <w:rsid w:val="00705838"/>
    <w:rsid w:val="007205B4"/>
    <w:rsid w:val="00745D91"/>
    <w:rsid w:val="0076634D"/>
    <w:rsid w:val="00785F4D"/>
    <w:rsid w:val="00792B4F"/>
    <w:rsid w:val="007960B8"/>
    <w:rsid w:val="007B763C"/>
    <w:rsid w:val="007C1C3B"/>
    <w:rsid w:val="007C639D"/>
    <w:rsid w:val="007D0692"/>
    <w:rsid w:val="007D6663"/>
    <w:rsid w:val="007D67EA"/>
    <w:rsid w:val="007D771D"/>
    <w:rsid w:val="007F4DFE"/>
    <w:rsid w:val="0080490D"/>
    <w:rsid w:val="00804A08"/>
    <w:rsid w:val="008114D5"/>
    <w:rsid w:val="00856C22"/>
    <w:rsid w:val="00861157"/>
    <w:rsid w:val="0088442C"/>
    <w:rsid w:val="008863DC"/>
    <w:rsid w:val="00886EB5"/>
    <w:rsid w:val="008950AB"/>
    <w:rsid w:val="00897404"/>
    <w:rsid w:val="00897A77"/>
    <w:rsid w:val="008A25A0"/>
    <w:rsid w:val="008A28EA"/>
    <w:rsid w:val="008B5222"/>
    <w:rsid w:val="008C2DBE"/>
    <w:rsid w:val="008D052F"/>
    <w:rsid w:val="008D17F0"/>
    <w:rsid w:val="008D389B"/>
    <w:rsid w:val="008E2D6E"/>
    <w:rsid w:val="008F19C3"/>
    <w:rsid w:val="008F3DC5"/>
    <w:rsid w:val="0090054B"/>
    <w:rsid w:val="009115F7"/>
    <w:rsid w:val="00915D9E"/>
    <w:rsid w:val="009627EB"/>
    <w:rsid w:val="0097134C"/>
    <w:rsid w:val="009717A0"/>
    <w:rsid w:val="00971CF7"/>
    <w:rsid w:val="00987E91"/>
    <w:rsid w:val="00990E95"/>
    <w:rsid w:val="00996D5D"/>
    <w:rsid w:val="009976C2"/>
    <w:rsid w:val="00997FDF"/>
    <w:rsid w:val="009A0362"/>
    <w:rsid w:val="009A24BD"/>
    <w:rsid w:val="009A3212"/>
    <w:rsid w:val="009A7A94"/>
    <w:rsid w:val="009B4441"/>
    <w:rsid w:val="009C3BED"/>
    <w:rsid w:val="009E39EE"/>
    <w:rsid w:val="009F4F27"/>
    <w:rsid w:val="009F6537"/>
    <w:rsid w:val="00A022B0"/>
    <w:rsid w:val="00A07527"/>
    <w:rsid w:val="00A078B9"/>
    <w:rsid w:val="00A138C3"/>
    <w:rsid w:val="00A15397"/>
    <w:rsid w:val="00A32DC5"/>
    <w:rsid w:val="00A4735F"/>
    <w:rsid w:val="00A532A8"/>
    <w:rsid w:val="00A61559"/>
    <w:rsid w:val="00A71129"/>
    <w:rsid w:val="00A80B63"/>
    <w:rsid w:val="00AB62ED"/>
    <w:rsid w:val="00AB74A5"/>
    <w:rsid w:val="00AC0618"/>
    <w:rsid w:val="00AD0907"/>
    <w:rsid w:val="00AD18AE"/>
    <w:rsid w:val="00AD4071"/>
    <w:rsid w:val="00AD56BD"/>
    <w:rsid w:val="00AE0FD0"/>
    <w:rsid w:val="00AE553E"/>
    <w:rsid w:val="00AE76F5"/>
    <w:rsid w:val="00AF2510"/>
    <w:rsid w:val="00AF2C90"/>
    <w:rsid w:val="00B12166"/>
    <w:rsid w:val="00B47BDF"/>
    <w:rsid w:val="00B51A2B"/>
    <w:rsid w:val="00B52F0D"/>
    <w:rsid w:val="00B5416D"/>
    <w:rsid w:val="00B54E2A"/>
    <w:rsid w:val="00B63AAB"/>
    <w:rsid w:val="00B67224"/>
    <w:rsid w:val="00B86ADE"/>
    <w:rsid w:val="00B879A5"/>
    <w:rsid w:val="00B93500"/>
    <w:rsid w:val="00B95BAF"/>
    <w:rsid w:val="00B96CEA"/>
    <w:rsid w:val="00BA3E8A"/>
    <w:rsid w:val="00BC4EC6"/>
    <w:rsid w:val="00BD1186"/>
    <w:rsid w:val="00BD7656"/>
    <w:rsid w:val="00BE4491"/>
    <w:rsid w:val="00BF2540"/>
    <w:rsid w:val="00C04899"/>
    <w:rsid w:val="00C15E97"/>
    <w:rsid w:val="00C20FA7"/>
    <w:rsid w:val="00C23608"/>
    <w:rsid w:val="00C439D9"/>
    <w:rsid w:val="00C60ED8"/>
    <w:rsid w:val="00C664C9"/>
    <w:rsid w:val="00C85C10"/>
    <w:rsid w:val="00C93F24"/>
    <w:rsid w:val="00CA101F"/>
    <w:rsid w:val="00CA27EA"/>
    <w:rsid w:val="00CA35C8"/>
    <w:rsid w:val="00CA78CD"/>
    <w:rsid w:val="00CB5AAB"/>
    <w:rsid w:val="00CB7427"/>
    <w:rsid w:val="00CD2CA2"/>
    <w:rsid w:val="00CD61B8"/>
    <w:rsid w:val="00CE37B6"/>
    <w:rsid w:val="00CE5076"/>
    <w:rsid w:val="00CE76F6"/>
    <w:rsid w:val="00CF6420"/>
    <w:rsid w:val="00D0435B"/>
    <w:rsid w:val="00D07A96"/>
    <w:rsid w:val="00D124FD"/>
    <w:rsid w:val="00D141AC"/>
    <w:rsid w:val="00D2163D"/>
    <w:rsid w:val="00D261DA"/>
    <w:rsid w:val="00D31E0F"/>
    <w:rsid w:val="00D465BE"/>
    <w:rsid w:val="00D46B01"/>
    <w:rsid w:val="00D72F42"/>
    <w:rsid w:val="00D81BD3"/>
    <w:rsid w:val="00D91BFD"/>
    <w:rsid w:val="00DA1C38"/>
    <w:rsid w:val="00DA2F62"/>
    <w:rsid w:val="00DB0C3A"/>
    <w:rsid w:val="00DB60C8"/>
    <w:rsid w:val="00DB7279"/>
    <w:rsid w:val="00DC28BB"/>
    <w:rsid w:val="00DC4132"/>
    <w:rsid w:val="00DD24AF"/>
    <w:rsid w:val="00DE299F"/>
    <w:rsid w:val="00DF1163"/>
    <w:rsid w:val="00DF3679"/>
    <w:rsid w:val="00E024E7"/>
    <w:rsid w:val="00E10B5C"/>
    <w:rsid w:val="00E12E89"/>
    <w:rsid w:val="00E160DC"/>
    <w:rsid w:val="00E379F7"/>
    <w:rsid w:val="00E41F30"/>
    <w:rsid w:val="00E50049"/>
    <w:rsid w:val="00E539C9"/>
    <w:rsid w:val="00E65ABE"/>
    <w:rsid w:val="00E765CE"/>
    <w:rsid w:val="00E842F7"/>
    <w:rsid w:val="00E8489A"/>
    <w:rsid w:val="00E965E7"/>
    <w:rsid w:val="00EA28B0"/>
    <w:rsid w:val="00EA3422"/>
    <w:rsid w:val="00EB735F"/>
    <w:rsid w:val="00EC09DD"/>
    <w:rsid w:val="00EC708C"/>
    <w:rsid w:val="00EF4895"/>
    <w:rsid w:val="00F0018C"/>
    <w:rsid w:val="00F01A0B"/>
    <w:rsid w:val="00F03929"/>
    <w:rsid w:val="00F0463C"/>
    <w:rsid w:val="00F26308"/>
    <w:rsid w:val="00F26F0E"/>
    <w:rsid w:val="00F27D00"/>
    <w:rsid w:val="00F45E4B"/>
    <w:rsid w:val="00F516F7"/>
    <w:rsid w:val="00F62019"/>
    <w:rsid w:val="00F737DF"/>
    <w:rsid w:val="00F75F5C"/>
    <w:rsid w:val="00F84015"/>
    <w:rsid w:val="00F956E3"/>
    <w:rsid w:val="00FA1FA0"/>
    <w:rsid w:val="00FA428B"/>
    <w:rsid w:val="00FA5FC5"/>
    <w:rsid w:val="00FD0649"/>
    <w:rsid w:val="00FD2348"/>
    <w:rsid w:val="00FD38E8"/>
    <w:rsid w:val="00FE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ody Text Inden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67FD"/>
    <w:rPr>
      <w:rFonts w:ascii="Times New Roman" w:hAnsi="Times New Roman"/>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rsid w:val="005567FD"/>
    <w:pPr>
      <w:jc w:val="both"/>
    </w:pPr>
    <w:rPr>
      <w:sz w:val="22"/>
      <w:szCs w:val="22"/>
    </w:rPr>
  </w:style>
  <w:style w:type="character" w:customStyle="1" w:styleId="a4">
    <w:name w:val="Основной текст с отступом Знак"/>
    <w:basedOn w:val="a0"/>
    <w:link w:val="a3"/>
    <w:locked/>
    <w:rsid w:val="005567FD"/>
    <w:rPr>
      <w:rFonts w:ascii="Times New Roman" w:hAnsi="Times New Roman" w:cs="Times New Roman"/>
      <w:lang w:val="x-none" w:eastAsia="ru-RU"/>
    </w:rPr>
  </w:style>
  <w:style w:type="paragraph" w:styleId="2">
    <w:name w:val="Body Text Indent 2"/>
    <w:basedOn w:val="a"/>
    <w:link w:val="20"/>
    <w:rsid w:val="005567FD"/>
    <w:pPr>
      <w:ind w:left="360"/>
      <w:jc w:val="both"/>
    </w:pPr>
  </w:style>
  <w:style w:type="character" w:customStyle="1" w:styleId="20">
    <w:name w:val="Основной текст с отступом 2 Знак"/>
    <w:basedOn w:val="a0"/>
    <w:link w:val="2"/>
    <w:locked/>
    <w:rsid w:val="005567FD"/>
    <w:rPr>
      <w:rFonts w:ascii="Times New Roman" w:hAnsi="Times New Roman" w:cs="Times New Roman"/>
      <w:sz w:val="24"/>
      <w:szCs w:val="24"/>
      <w:lang w:val="x-none" w:eastAsia="ru-RU"/>
    </w:rPr>
  </w:style>
  <w:style w:type="paragraph" w:styleId="a5">
    <w:name w:val="Balloon Text"/>
    <w:basedOn w:val="a"/>
    <w:link w:val="a6"/>
    <w:rsid w:val="0020711C"/>
    <w:rPr>
      <w:rFonts w:ascii="Tahoma" w:hAnsi="Tahoma" w:cs="Tahoma"/>
      <w:sz w:val="16"/>
      <w:szCs w:val="16"/>
    </w:rPr>
  </w:style>
  <w:style w:type="character" w:customStyle="1" w:styleId="a6">
    <w:name w:val="Текст выноски Знак"/>
    <w:basedOn w:val="a0"/>
    <w:link w:val="a5"/>
    <w:rsid w:val="002071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ody Text Inden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67FD"/>
    <w:rPr>
      <w:rFonts w:ascii="Times New Roman" w:hAnsi="Times New Roman"/>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rsid w:val="005567FD"/>
    <w:pPr>
      <w:jc w:val="both"/>
    </w:pPr>
    <w:rPr>
      <w:sz w:val="22"/>
      <w:szCs w:val="22"/>
    </w:rPr>
  </w:style>
  <w:style w:type="character" w:customStyle="1" w:styleId="a4">
    <w:name w:val="Основной текст с отступом Знак"/>
    <w:basedOn w:val="a0"/>
    <w:link w:val="a3"/>
    <w:locked/>
    <w:rsid w:val="005567FD"/>
    <w:rPr>
      <w:rFonts w:ascii="Times New Roman" w:hAnsi="Times New Roman" w:cs="Times New Roman"/>
      <w:lang w:val="x-none" w:eastAsia="ru-RU"/>
    </w:rPr>
  </w:style>
  <w:style w:type="paragraph" w:styleId="2">
    <w:name w:val="Body Text Indent 2"/>
    <w:basedOn w:val="a"/>
    <w:link w:val="20"/>
    <w:rsid w:val="005567FD"/>
    <w:pPr>
      <w:ind w:left="360"/>
      <w:jc w:val="both"/>
    </w:pPr>
  </w:style>
  <w:style w:type="character" w:customStyle="1" w:styleId="20">
    <w:name w:val="Основной текст с отступом 2 Знак"/>
    <w:basedOn w:val="a0"/>
    <w:link w:val="2"/>
    <w:locked/>
    <w:rsid w:val="005567FD"/>
    <w:rPr>
      <w:rFonts w:ascii="Times New Roman" w:hAnsi="Times New Roman" w:cs="Times New Roman"/>
      <w:sz w:val="24"/>
      <w:szCs w:val="24"/>
      <w:lang w:val="x-none" w:eastAsia="ru-RU"/>
    </w:rPr>
  </w:style>
  <w:style w:type="paragraph" w:styleId="a5">
    <w:name w:val="Balloon Text"/>
    <w:basedOn w:val="a"/>
    <w:link w:val="a6"/>
    <w:rsid w:val="0020711C"/>
    <w:rPr>
      <w:rFonts w:ascii="Tahoma" w:hAnsi="Tahoma" w:cs="Tahoma"/>
      <w:sz w:val="16"/>
      <w:szCs w:val="16"/>
    </w:rPr>
  </w:style>
  <w:style w:type="character" w:customStyle="1" w:styleId="a6">
    <w:name w:val="Текст выноски Знак"/>
    <w:basedOn w:val="a0"/>
    <w:link w:val="a5"/>
    <w:rsid w:val="002071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732</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Приложение №3 </vt:lpstr>
    </vt:vector>
  </TitlesOfParts>
  <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creator>ZhurbaTA</dc:creator>
  <cp:lastModifiedBy>Сукачева Е.С.</cp:lastModifiedBy>
  <cp:revision>1</cp:revision>
  <cp:lastPrinted>2012-10-01T11:52:00Z</cp:lastPrinted>
  <dcterms:created xsi:type="dcterms:W3CDTF">2013-03-04T12:00:00Z</dcterms:created>
  <dcterms:modified xsi:type="dcterms:W3CDTF">2013-03-04T12:01:00Z</dcterms:modified>
</cp:coreProperties>
</file>